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41" w:rsidRPr="00DA6703" w:rsidRDefault="00CE4C83" w:rsidP="007954EB">
      <w:pPr>
        <w:tabs>
          <w:tab w:val="left" w:pos="417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DA6703">
        <w:rPr>
          <w:rFonts w:ascii="Palatino Linotype" w:hAnsi="Palatino Linotype"/>
          <w:b/>
          <w:sz w:val="24"/>
          <w:szCs w:val="24"/>
        </w:rPr>
        <w:t>Nr.</w:t>
      </w:r>
      <w:r w:rsidR="0013619B" w:rsidRPr="00DA6703">
        <w:rPr>
          <w:rFonts w:ascii="Palatino Linotype" w:hAnsi="Palatino Linotype"/>
          <w:b/>
          <w:sz w:val="24"/>
          <w:szCs w:val="24"/>
        </w:rPr>
        <w:t xml:space="preserve"> </w:t>
      </w:r>
      <w:r w:rsidR="0014334E" w:rsidRPr="00DA6703">
        <w:rPr>
          <w:rFonts w:ascii="Palatino Linotype" w:hAnsi="Palatino Linotype"/>
          <w:b/>
          <w:sz w:val="24"/>
          <w:szCs w:val="24"/>
        </w:rPr>
        <w:t>2364</w:t>
      </w:r>
      <w:r w:rsidR="0076510F" w:rsidRPr="00DA6703">
        <w:rPr>
          <w:rFonts w:ascii="Palatino Linotype" w:hAnsi="Palatino Linotype"/>
          <w:b/>
          <w:sz w:val="24"/>
          <w:szCs w:val="24"/>
        </w:rPr>
        <w:t>/VIII-3/2021</w:t>
      </w:r>
      <w:r w:rsidR="007D6C42" w:rsidRPr="00DA6703">
        <w:rPr>
          <w:rFonts w:ascii="Palatino Linotype" w:hAnsi="Palatino Linotype"/>
          <w:b/>
          <w:sz w:val="24"/>
          <w:szCs w:val="24"/>
        </w:rPr>
        <w:t xml:space="preserve">      </w:t>
      </w:r>
      <w:r w:rsidR="00290DBC" w:rsidRPr="00DA6703">
        <w:rPr>
          <w:rFonts w:ascii="Palatino Linotype" w:hAnsi="Palatino Linotype"/>
          <w:b/>
          <w:sz w:val="24"/>
          <w:szCs w:val="24"/>
        </w:rPr>
        <w:t xml:space="preserve">  </w:t>
      </w:r>
      <w:r w:rsidR="007D6C42" w:rsidRPr="00DA6703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</w:t>
      </w:r>
      <w:r w:rsidR="007D6C42" w:rsidRPr="00DA6703">
        <w:rPr>
          <w:rFonts w:ascii="Palatino Linotype" w:hAnsi="Palatino Linotype"/>
          <w:b/>
          <w:sz w:val="24"/>
          <w:szCs w:val="24"/>
        </w:rPr>
        <w:tab/>
      </w:r>
      <w:r w:rsidR="00AB7C2B" w:rsidRPr="00DA6703">
        <w:rPr>
          <w:rFonts w:ascii="Palatino Linotype" w:hAnsi="Palatino Linotype"/>
          <w:b/>
          <w:sz w:val="24"/>
          <w:szCs w:val="24"/>
        </w:rPr>
        <w:t xml:space="preserve">   </w:t>
      </w:r>
      <w:r w:rsidR="00CE24CC" w:rsidRPr="00DA6703">
        <w:rPr>
          <w:rFonts w:ascii="Palatino Linotype" w:hAnsi="Palatino Linotype"/>
          <w:b/>
          <w:sz w:val="24"/>
          <w:szCs w:val="24"/>
        </w:rPr>
        <w:tab/>
      </w:r>
      <w:r w:rsidR="00D20156" w:rsidRPr="00DA6703">
        <w:rPr>
          <w:rFonts w:ascii="Palatino Linotype" w:hAnsi="Palatino Linotype"/>
          <w:b/>
          <w:sz w:val="24"/>
          <w:szCs w:val="24"/>
        </w:rPr>
        <w:t xml:space="preserve"> </w:t>
      </w:r>
      <w:r w:rsidR="00193DCA" w:rsidRPr="00DA6703">
        <w:rPr>
          <w:rFonts w:ascii="Palatino Linotype" w:hAnsi="Palatino Linotype"/>
          <w:b/>
          <w:sz w:val="24"/>
          <w:szCs w:val="24"/>
        </w:rPr>
        <w:t xml:space="preserve"> </w:t>
      </w:r>
      <w:r w:rsidR="0014334E" w:rsidRPr="00DA6703">
        <w:rPr>
          <w:rFonts w:ascii="Palatino Linotype" w:hAnsi="Palatino Linotype"/>
          <w:b/>
          <w:sz w:val="24"/>
          <w:szCs w:val="24"/>
        </w:rPr>
        <w:t>28 octo</w:t>
      </w:r>
      <w:r w:rsidR="007D67B8" w:rsidRPr="00DA6703">
        <w:rPr>
          <w:rFonts w:ascii="Palatino Linotype" w:hAnsi="Palatino Linotype"/>
          <w:b/>
          <w:sz w:val="24"/>
          <w:szCs w:val="24"/>
        </w:rPr>
        <w:t>mbrie</w:t>
      </w:r>
      <w:r w:rsidR="000652FA" w:rsidRPr="00DA6703">
        <w:rPr>
          <w:rFonts w:ascii="Palatino Linotype" w:hAnsi="Palatino Linotype"/>
          <w:b/>
          <w:sz w:val="24"/>
          <w:szCs w:val="24"/>
        </w:rPr>
        <w:t xml:space="preserve"> </w:t>
      </w:r>
      <w:r w:rsidR="0076510F" w:rsidRPr="00DA6703">
        <w:rPr>
          <w:rFonts w:ascii="Palatino Linotype" w:hAnsi="Palatino Linotype"/>
          <w:b/>
          <w:sz w:val="24"/>
          <w:szCs w:val="24"/>
        </w:rPr>
        <w:t>2021</w:t>
      </w:r>
      <w:r w:rsidR="00DE50B4" w:rsidRPr="00DA6703">
        <w:rPr>
          <w:rFonts w:ascii="Palatino Linotype" w:hAnsi="Palatino Linotype"/>
          <w:b/>
          <w:sz w:val="24"/>
          <w:szCs w:val="24"/>
        </w:rPr>
        <w:tab/>
      </w:r>
    </w:p>
    <w:p w:rsidR="00AF161F" w:rsidRPr="00DA6703" w:rsidRDefault="00AF161F" w:rsidP="007954EB">
      <w:pPr>
        <w:tabs>
          <w:tab w:val="left" w:pos="417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713B66" w:rsidRPr="00DA6703" w:rsidRDefault="00713B66" w:rsidP="00AD3126">
      <w:pPr>
        <w:tabs>
          <w:tab w:val="left" w:pos="4170"/>
        </w:tabs>
        <w:spacing w:line="360" w:lineRule="auto"/>
        <w:ind w:left="5670"/>
        <w:jc w:val="center"/>
        <w:rPr>
          <w:rFonts w:ascii="Palatino Linotype" w:hAnsi="Palatino Linotype"/>
          <w:b/>
          <w:sz w:val="24"/>
          <w:szCs w:val="24"/>
        </w:rPr>
      </w:pPr>
      <w:r w:rsidRPr="00DA6703">
        <w:rPr>
          <w:rFonts w:ascii="Palatino Linotype" w:hAnsi="Palatino Linotype"/>
          <w:b/>
          <w:sz w:val="24"/>
          <w:szCs w:val="24"/>
        </w:rPr>
        <w:t>Aprob</w:t>
      </w:r>
      <w:r w:rsidR="00AD3126">
        <w:rPr>
          <w:rFonts w:ascii="Palatino Linotype" w:hAnsi="Palatino Linotype"/>
          <w:b/>
          <w:sz w:val="24"/>
          <w:szCs w:val="24"/>
        </w:rPr>
        <w:t>,</w:t>
      </w:r>
    </w:p>
    <w:p w:rsidR="001D0290" w:rsidRPr="00DA6703" w:rsidRDefault="00713B66" w:rsidP="00AD3126">
      <w:pPr>
        <w:tabs>
          <w:tab w:val="left" w:pos="4170"/>
        </w:tabs>
        <w:spacing w:line="360" w:lineRule="auto"/>
        <w:ind w:left="5670"/>
        <w:jc w:val="center"/>
        <w:rPr>
          <w:rFonts w:ascii="Palatino Linotype" w:hAnsi="Palatino Linotype"/>
          <w:b/>
          <w:sz w:val="24"/>
          <w:szCs w:val="24"/>
        </w:rPr>
      </w:pPr>
      <w:r w:rsidRPr="00DA6703">
        <w:rPr>
          <w:rFonts w:ascii="Palatino Linotype" w:hAnsi="Palatino Linotype"/>
          <w:b/>
          <w:sz w:val="24"/>
          <w:szCs w:val="24"/>
        </w:rPr>
        <w:t xml:space="preserve">Procuror </w:t>
      </w:r>
      <w:r w:rsidR="00AD3126">
        <w:rPr>
          <w:rFonts w:ascii="Palatino Linotype" w:hAnsi="Palatino Linotype"/>
          <w:b/>
          <w:sz w:val="24"/>
          <w:szCs w:val="24"/>
        </w:rPr>
        <w:t>G</w:t>
      </w:r>
      <w:r w:rsidRPr="00DA6703">
        <w:rPr>
          <w:rFonts w:ascii="Palatino Linotype" w:hAnsi="Palatino Linotype"/>
          <w:b/>
          <w:sz w:val="24"/>
          <w:szCs w:val="24"/>
        </w:rPr>
        <w:t>eneral</w:t>
      </w:r>
      <w:r w:rsidR="00AD3126">
        <w:rPr>
          <w:rFonts w:ascii="Palatino Linotype" w:hAnsi="Palatino Linotype"/>
          <w:b/>
          <w:sz w:val="24"/>
          <w:szCs w:val="24"/>
        </w:rPr>
        <w:t xml:space="preserve"> al PÎCCJ</w:t>
      </w:r>
    </w:p>
    <w:p w:rsidR="0006000B" w:rsidRDefault="0006000B" w:rsidP="007954EB">
      <w:pPr>
        <w:tabs>
          <w:tab w:val="left" w:pos="417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D3126" w:rsidRPr="00DA6703" w:rsidRDefault="00AD3126" w:rsidP="00AD3126">
      <w:pPr>
        <w:tabs>
          <w:tab w:val="left" w:pos="417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225DAC" w:rsidRPr="00DA6703" w:rsidRDefault="0006000B" w:rsidP="00AD3126">
      <w:pPr>
        <w:tabs>
          <w:tab w:val="left" w:pos="4170"/>
        </w:tabs>
        <w:spacing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A6703">
        <w:rPr>
          <w:rFonts w:ascii="Palatino Linotype" w:hAnsi="Palatino Linotype"/>
          <w:b/>
          <w:sz w:val="28"/>
          <w:szCs w:val="28"/>
        </w:rPr>
        <w:t>Continuarea urmăririi penale față de 11 suspecți</w:t>
      </w:r>
      <w:r w:rsidR="00346AC9" w:rsidRPr="00DA6703">
        <w:rPr>
          <w:rFonts w:ascii="Palatino Linotype" w:hAnsi="Palatino Linotype"/>
          <w:b/>
          <w:sz w:val="28"/>
          <w:szCs w:val="28"/>
        </w:rPr>
        <w:t xml:space="preserve"> </w:t>
      </w:r>
      <w:r w:rsidRPr="00DA6703">
        <w:rPr>
          <w:rFonts w:ascii="Palatino Linotype" w:hAnsi="Palatino Linotype"/>
          <w:b/>
          <w:sz w:val="28"/>
          <w:szCs w:val="28"/>
        </w:rPr>
        <w:t>-</w:t>
      </w:r>
      <w:r w:rsidR="00346AC9" w:rsidRPr="00DA6703">
        <w:rPr>
          <w:rFonts w:ascii="Palatino Linotype" w:hAnsi="Palatino Linotype"/>
          <w:b/>
          <w:sz w:val="28"/>
          <w:szCs w:val="28"/>
        </w:rPr>
        <w:t xml:space="preserve"> </w:t>
      </w:r>
      <w:r w:rsidRPr="00DA6703">
        <w:rPr>
          <w:rFonts w:ascii="Palatino Linotype" w:hAnsi="Palatino Linotype"/>
          <w:b/>
          <w:sz w:val="28"/>
          <w:szCs w:val="28"/>
        </w:rPr>
        <w:t>cauza incendiului de la Spitalul Județean</w:t>
      </w:r>
      <w:r w:rsidR="00F617A2" w:rsidRPr="00DA6703">
        <w:rPr>
          <w:rFonts w:ascii="Palatino Linotype" w:hAnsi="Palatino Linotype"/>
          <w:b/>
          <w:sz w:val="28"/>
          <w:szCs w:val="28"/>
        </w:rPr>
        <w:t xml:space="preserve"> de Urgență</w:t>
      </w:r>
      <w:r w:rsidRPr="00DA6703">
        <w:rPr>
          <w:rFonts w:ascii="Palatino Linotype" w:hAnsi="Palatino Linotype"/>
          <w:b/>
          <w:sz w:val="28"/>
          <w:szCs w:val="28"/>
        </w:rPr>
        <w:t xml:space="preserve"> Piatra Neamț</w:t>
      </w:r>
    </w:p>
    <w:p w:rsidR="00713B66" w:rsidRPr="00DA6703" w:rsidRDefault="00713B66" w:rsidP="00AD3126">
      <w:pPr>
        <w:tabs>
          <w:tab w:val="left" w:pos="4170"/>
        </w:tabs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14334E" w:rsidRPr="00DA6703" w:rsidRDefault="0014334E" w:rsidP="00AD3126">
      <w:pPr>
        <w:spacing w:line="312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A6703">
        <w:rPr>
          <w:rFonts w:ascii="Palatino Linotype" w:hAnsi="Palatino Linotype"/>
          <w:b/>
          <w:sz w:val="24"/>
          <w:szCs w:val="24"/>
        </w:rPr>
        <w:t>COMUNICAT</w:t>
      </w:r>
    </w:p>
    <w:p w:rsidR="0014334E" w:rsidRPr="00DA6703" w:rsidRDefault="0014334E" w:rsidP="007954EB">
      <w:pPr>
        <w:spacing w:line="312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14334E" w:rsidRPr="00DA6703" w:rsidRDefault="0014334E" w:rsidP="004219C7">
      <w:pPr>
        <w:ind w:firstLine="709"/>
        <w:jc w:val="both"/>
        <w:rPr>
          <w:rFonts w:ascii="Palatino Linotype" w:hAnsi="Palatino Linotype"/>
          <w:b/>
          <w:sz w:val="24"/>
          <w:szCs w:val="24"/>
        </w:rPr>
      </w:pPr>
      <w:r w:rsidRPr="00DA6703">
        <w:rPr>
          <w:rFonts w:ascii="Palatino Linotype" w:hAnsi="Palatino Linotype"/>
          <w:b/>
          <w:sz w:val="24"/>
          <w:szCs w:val="24"/>
        </w:rPr>
        <w:t xml:space="preserve">Biroul de informare şi relaţii publice din cadrul Parchetului de pe lângă Înalta Curte de Casaţie şi Justiţie, în continuarea comunicatelor din  </w:t>
      </w:r>
      <w:hyperlink r:id="rId8" w:history="1">
        <w:r w:rsidRPr="00DA6703">
          <w:rPr>
            <w:rStyle w:val="Hyperlink"/>
            <w:rFonts w:ascii="Palatino Linotype" w:hAnsi="Palatino Linotype"/>
            <w:b/>
            <w:sz w:val="24"/>
            <w:szCs w:val="24"/>
          </w:rPr>
          <w:t>14.11.2020</w:t>
        </w:r>
      </w:hyperlink>
      <w:r w:rsidRPr="00DA6703">
        <w:rPr>
          <w:rFonts w:ascii="Palatino Linotype" w:hAnsi="Palatino Linotype"/>
          <w:b/>
          <w:sz w:val="24"/>
          <w:szCs w:val="24"/>
        </w:rPr>
        <w:t xml:space="preserve">, </w:t>
      </w:r>
      <w:hyperlink r:id="rId9" w:history="1">
        <w:r w:rsidRPr="00DA6703">
          <w:rPr>
            <w:rStyle w:val="Hyperlink"/>
            <w:rFonts w:ascii="Palatino Linotype" w:hAnsi="Palatino Linotype"/>
            <w:b/>
            <w:sz w:val="24"/>
            <w:szCs w:val="24"/>
          </w:rPr>
          <w:t>15.11.2020</w:t>
        </w:r>
      </w:hyperlink>
      <w:r w:rsidRPr="00DA6703">
        <w:rPr>
          <w:rFonts w:ascii="Palatino Linotype" w:hAnsi="Palatino Linotype"/>
          <w:b/>
          <w:sz w:val="24"/>
          <w:szCs w:val="24"/>
        </w:rPr>
        <w:t xml:space="preserve">, </w:t>
      </w:r>
      <w:hyperlink r:id="rId10" w:history="1">
        <w:r w:rsidRPr="00DA6703">
          <w:rPr>
            <w:rStyle w:val="Hyperlink"/>
            <w:rFonts w:ascii="Palatino Linotype" w:hAnsi="Palatino Linotype"/>
            <w:b/>
            <w:sz w:val="24"/>
            <w:szCs w:val="24"/>
          </w:rPr>
          <w:t>16.11.2020</w:t>
        </w:r>
      </w:hyperlink>
      <w:r w:rsidRPr="00DA6703">
        <w:rPr>
          <w:rFonts w:ascii="Palatino Linotype" w:hAnsi="Palatino Linotype"/>
          <w:b/>
          <w:sz w:val="24"/>
          <w:szCs w:val="24"/>
        </w:rPr>
        <w:t xml:space="preserve">, </w:t>
      </w:r>
      <w:hyperlink r:id="rId11" w:history="1">
        <w:r w:rsidRPr="00DA6703">
          <w:rPr>
            <w:rStyle w:val="Hyperlink"/>
            <w:rFonts w:ascii="Palatino Linotype" w:hAnsi="Palatino Linotype"/>
            <w:b/>
            <w:sz w:val="24"/>
            <w:szCs w:val="24"/>
          </w:rPr>
          <w:t>17.11.2020</w:t>
        </w:r>
      </w:hyperlink>
      <w:r w:rsidRPr="00DA6703">
        <w:rPr>
          <w:rFonts w:ascii="Palatino Linotype" w:hAnsi="Palatino Linotype"/>
          <w:b/>
          <w:sz w:val="24"/>
          <w:szCs w:val="24"/>
        </w:rPr>
        <w:t xml:space="preserve"> și </w:t>
      </w:r>
      <w:hyperlink r:id="rId12" w:history="1">
        <w:r w:rsidRPr="00DA6703">
          <w:rPr>
            <w:rStyle w:val="Hyperlink"/>
            <w:rFonts w:ascii="Palatino Linotype" w:hAnsi="Palatino Linotype"/>
            <w:b/>
            <w:sz w:val="24"/>
            <w:szCs w:val="24"/>
          </w:rPr>
          <w:t>5.10.2021</w:t>
        </w:r>
      </w:hyperlink>
      <w:r w:rsidR="00065CD8" w:rsidRPr="00DA6703">
        <w:rPr>
          <w:rStyle w:val="Hyperlink"/>
          <w:rFonts w:ascii="Palatino Linotype" w:hAnsi="Palatino Linotype"/>
          <w:b/>
          <w:sz w:val="24"/>
          <w:szCs w:val="24"/>
        </w:rPr>
        <w:t>,</w:t>
      </w:r>
      <w:r w:rsidRPr="00DA6703">
        <w:rPr>
          <w:rFonts w:ascii="Palatino Linotype" w:hAnsi="Palatino Linotype"/>
          <w:b/>
          <w:sz w:val="24"/>
          <w:szCs w:val="24"/>
        </w:rPr>
        <w:t xml:space="preserve"> este împuternicit să aducă la cunoștința opiniei publice următoarele:</w:t>
      </w:r>
    </w:p>
    <w:p w:rsidR="00D6461D" w:rsidRPr="00DA6703" w:rsidRDefault="0014334E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sz w:val="24"/>
          <w:szCs w:val="24"/>
        </w:rPr>
        <w:tab/>
        <w:t xml:space="preserve">Procurorii din cadrul Parchetului de pe lângă Înalta Curte de Casație și Justiție – Secția de urmărire penală </w:t>
      </w:r>
      <w:r w:rsidR="004E43F4" w:rsidRPr="00DA6703">
        <w:rPr>
          <w:rFonts w:ascii="Palatino Linotype" w:hAnsi="Palatino Linotype"/>
          <w:sz w:val="24"/>
          <w:szCs w:val="24"/>
        </w:rPr>
        <w:t>au dispus, în ziua de 25 octombrie 2021</w:t>
      </w:r>
      <w:r w:rsidRPr="00DA6703">
        <w:rPr>
          <w:rFonts w:ascii="Palatino Linotype" w:hAnsi="Palatino Linotype"/>
          <w:sz w:val="24"/>
          <w:szCs w:val="24"/>
        </w:rPr>
        <w:t>, în cauza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privind </w:t>
      </w:r>
      <w:r w:rsidR="004E43F4" w:rsidRPr="00DA6703">
        <w:rPr>
          <w:rFonts w:ascii="Palatino Linotype" w:hAnsi="Palatino Linotype"/>
          <w:color w:val="000000"/>
          <w:sz w:val="24"/>
          <w:szCs w:val="24"/>
        </w:rPr>
        <w:t>incendiul de la Spitalul Județean</w:t>
      </w:r>
      <w:r w:rsidR="005D5AE7" w:rsidRPr="00DA6703">
        <w:rPr>
          <w:rFonts w:ascii="Palatino Linotype" w:hAnsi="Palatino Linotype"/>
          <w:color w:val="000000"/>
          <w:sz w:val="24"/>
          <w:szCs w:val="24"/>
        </w:rPr>
        <w:t xml:space="preserve"> de Urgență</w:t>
      </w:r>
      <w:r w:rsidR="004E43F4" w:rsidRPr="00DA6703">
        <w:rPr>
          <w:rFonts w:ascii="Palatino Linotype" w:hAnsi="Palatino Linotype"/>
          <w:color w:val="000000"/>
          <w:sz w:val="24"/>
          <w:szCs w:val="24"/>
        </w:rPr>
        <w:t xml:space="preserve"> Piatra Neamț</w:t>
      </w:r>
      <w:r w:rsidRPr="00DA6703">
        <w:rPr>
          <w:rFonts w:ascii="Palatino Linotype" w:hAnsi="Palatino Linotype"/>
          <w:color w:val="000000"/>
          <w:sz w:val="24"/>
          <w:szCs w:val="24"/>
        </w:rPr>
        <w:t>, efectuarea în continuare a urmăririi penale faţă</w:t>
      </w:r>
      <w:r w:rsidR="00333351" w:rsidRPr="00DA6703">
        <w:rPr>
          <w:rFonts w:ascii="Palatino Linotype" w:hAnsi="Palatino Linotype"/>
          <w:color w:val="000000"/>
          <w:sz w:val="24"/>
          <w:szCs w:val="24"/>
        </w:rPr>
        <w:t xml:space="preserve"> de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10 </w:t>
      </w:r>
      <w:r w:rsidR="004E43F4" w:rsidRPr="00DA6703">
        <w:rPr>
          <w:rFonts w:ascii="Palatino Linotype" w:hAnsi="Palatino Linotype"/>
          <w:color w:val="000000"/>
          <w:sz w:val="24"/>
          <w:szCs w:val="24"/>
        </w:rPr>
        <w:t>suspecți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persoane fizice și față de persoana juridică Spitalul Județean de Urgență Piatra Neamț</w:t>
      </w:r>
      <w:r w:rsidR="004E43F4" w:rsidRPr="00DA6703">
        <w:rPr>
          <w:rFonts w:ascii="Palatino Linotype" w:hAnsi="Palatino Linotype"/>
          <w:color w:val="000000"/>
          <w:sz w:val="24"/>
          <w:szCs w:val="24"/>
        </w:rPr>
        <w:t>, după cum urmează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: </w:t>
      </w:r>
      <w:r w:rsidR="007954EB" w:rsidRPr="00DA670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7954EB" w:rsidRPr="00DA6703" w:rsidRDefault="007954EB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D6461D" w:rsidRPr="00DA6703" w:rsidRDefault="00033515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1.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Continuarea urmăririi penale față de 6 persoane fizice care au îndeplinit</w:t>
      </w:r>
      <w:r w:rsidRPr="00DA6703">
        <w:rPr>
          <w:rFonts w:ascii="Palatino Linotype" w:hAnsi="Palatino Linotype"/>
        </w:rPr>
        <w:t xml:space="preserve"> 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succesiv, pentru diferite perioade de timp,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funcția de 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manager interimar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sub aspectul comiterii infracțiunilor de </w:t>
      </w:r>
      <w:r w:rsidR="00D6461D" w:rsidRPr="00DA6703">
        <w:rPr>
          <w:rFonts w:ascii="Palatino Linotype" w:hAnsi="Palatino Linotype"/>
          <w:b/>
          <w:color w:val="000000"/>
          <w:sz w:val="24"/>
          <w:szCs w:val="24"/>
        </w:rPr>
        <w:t>ucidere din culpă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192 alin. 1, 2 şi 3 din Codul penal, de </w:t>
      </w:r>
      <w:r w:rsidR="00D6461D" w:rsidRPr="00DA6703">
        <w:rPr>
          <w:rFonts w:ascii="Palatino Linotype" w:hAnsi="Palatino Linotype"/>
          <w:b/>
          <w:color w:val="000000"/>
          <w:sz w:val="24"/>
          <w:szCs w:val="24"/>
        </w:rPr>
        <w:t>vătămare corporală din culpă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196 alin. 2, 3 şi 4 din Codul penal, de </w:t>
      </w:r>
      <w:r w:rsidR="00D6461D" w:rsidRPr="00DA6703">
        <w:rPr>
          <w:rFonts w:ascii="Palatino Linotype" w:hAnsi="Palatino Linotype"/>
          <w:b/>
          <w:color w:val="000000"/>
          <w:sz w:val="24"/>
          <w:szCs w:val="24"/>
        </w:rPr>
        <w:t>distrugere din culpă în formă calificată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255 alin. 1 şi 2 din Codul penal și de </w:t>
      </w:r>
      <w:r w:rsidR="00D6461D" w:rsidRPr="00DA6703">
        <w:rPr>
          <w:rFonts w:ascii="Palatino Linotype" w:hAnsi="Palatino Linotype"/>
          <w:b/>
          <w:color w:val="000000"/>
          <w:sz w:val="24"/>
          <w:szCs w:val="24"/>
        </w:rPr>
        <w:t>neluarea măsurilor legale de securitate şi sănătate în muncă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, prev. de art. 349 din Codul penal, cu aplicare</w:t>
      </w:r>
      <w:r w:rsidR="00F3529F" w:rsidRPr="00DA6703">
        <w:rPr>
          <w:rFonts w:ascii="Palatino Linotype" w:hAnsi="Palatino Linotype"/>
          <w:color w:val="000000"/>
          <w:sz w:val="24"/>
          <w:szCs w:val="24"/>
        </w:rPr>
        <w:t>a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art. 38 alin. 2 din Codul penal. </w:t>
      </w:r>
    </w:p>
    <w:p w:rsidR="00033515" w:rsidRPr="00DA6703" w:rsidRDefault="00D6461D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Din cercetările efectuate până în prezent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 xml:space="preserve"> a rezultat că,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în exercitarea atribuţiilor de manager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interimar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a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Spitalului Judeţean de Urgenţă Piatra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 xml:space="preserve"> Neamţ, în perioada 31.03.2020-17.11</w:t>
      </w:r>
      <w:r w:rsidRPr="00DA6703">
        <w:rPr>
          <w:rFonts w:ascii="Palatino Linotype" w:hAnsi="Palatino Linotype"/>
          <w:color w:val="000000"/>
          <w:sz w:val="24"/>
          <w:szCs w:val="24"/>
        </w:rPr>
        <w:t>.2020, în contextul epidemiei COVID 19 şi declarării unităţii sanitare ca unitate suport COVID, a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r fi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organizat impropriu activitatea specifică la nivelul spitalului prin aceea că nu a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>r fi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realizat o revizuire a riscurilor privind securitatea şi sănătatea în muncă, urmare a schimbării condiţiilor de muncă</w:t>
      </w:r>
      <w:r w:rsidR="00193FC3">
        <w:rPr>
          <w:rFonts w:ascii="Palatino Linotype" w:hAnsi="Palatino Linotype"/>
          <w:color w:val="000000"/>
          <w:sz w:val="24"/>
          <w:szCs w:val="24"/>
        </w:rPr>
        <w:t>, produsă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la nominalizarea Spitalului Judeţean de Urgenţă Piatra Neamţ în categoria spitalelor suport COVID 19</w:t>
      </w:r>
      <w:r w:rsidR="00716667" w:rsidRPr="00DA6703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:rsidR="0014334E" w:rsidRPr="00DA6703" w:rsidRDefault="00716667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Această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 xml:space="preserve"> schimbare a inclus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adoptarea unei </w:t>
      </w:r>
      <w:r w:rsidR="00065CD8" w:rsidRPr="00DA6703">
        <w:rPr>
          <w:rFonts w:ascii="Palatino Linotype" w:hAnsi="Palatino Linotype"/>
          <w:color w:val="000000"/>
          <w:sz w:val="24"/>
          <w:szCs w:val="24"/>
        </w:rPr>
        <w:t>terapii care presupune creştere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a cantită</w:t>
      </w:r>
      <w:r w:rsidR="00DA6703" w:rsidRPr="00DA6703">
        <w:rPr>
          <w:rFonts w:ascii="Palatino Linotype" w:hAnsi="Palatino Linotype"/>
          <w:color w:val="000000"/>
          <w:sz w:val="24"/>
          <w:szCs w:val="24"/>
        </w:rPr>
        <w:t>ţii de oxigen administrată paci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e</w:t>
      </w:r>
      <w:r w:rsidR="00DA6703" w:rsidRPr="00DA6703">
        <w:rPr>
          <w:rFonts w:ascii="Palatino Linotype" w:hAnsi="Palatino Linotype"/>
          <w:color w:val="000000"/>
          <w:sz w:val="24"/>
          <w:szCs w:val="24"/>
        </w:rPr>
        <w:t>n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ţilor COVID 19, implicit creşterea concentraţiei de oxigen în atmosfera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lastRenderedPageBreak/>
        <w:t>încăperilor u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>nde sunt trataţi aceşti bolnavi. Suspecții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nu a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>r fi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stabilit măsuri de prevenire care să asigure securitatea şi sănătatea la Secţia ATI în noile condiţii, cu consecința incendierii salonului </w:t>
      </w:r>
      <w:r w:rsidR="008758A6" w:rsidRPr="00DA6703">
        <w:rPr>
          <w:rFonts w:ascii="Palatino Linotype" w:hAnsi="Palatino Linotype"/>
          <w:color w:val="000000"/>
          <w:sz w:val="24"/>
          <w:szCs w:val="24"/>
        </w:rPr>
        <w:t>240 ATI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care a avut ca urmări moartea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 xml:space="preserve"> a 9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paci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>enți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, vătămarea corporală a 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 xml:space="preserve">unui medic 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și a</w:t>
      </w:r>
      <w:r w:rsidR="00033515" w:rsidRPr="00DA6703">
        <w:rPr>
          <w:rFonts w:ascii="Palatino Linotype" w:hAnsi="Palatino Linotype"/>
          <w:color w:val="000000"/>
          <w:sz w:val="24"/>
          <w:szCs w:val="24"/>
        </w:rPr>
        <w:t xml:space="preserve"> unei asistente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 xml:space="preserve"> medicale, degradarea salonului, distrugerea instalațiilor de fluide medicale, aer comprimat și electrică, a echip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amentelor de ventilație mecanică</w:t>
      </w:r>
      <w:r w:rsidR="00D6461D" w:rsidRPr="00DA6703">
        <w:rPr>
          <w:rFonts w:ascii="Palatino Linotype" w:hAnsi="Palatino Linotype"/>
          <w:color w:val="000000"/>
          <w:sz w:val="24"/>
          <w:szCs w:val="24"/>
        </w:rPr>
        <w:t>, precum și a altor echipamente medicale.</w:t>
      </w:r>
    </w:p>
    <w:p w:rsidR="007954EB" w:rsidRPr="00DA6703" w:rsidRDefault="007954EB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B70D0E" w:rsidRPr="00DA6703" w:rsidRDefault="00033515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2. Continuarea urmăririi penale față de două persoane fizice</w:t>
      </w:r>
      <w:r w:rsidR="00B70D0E" w:rsidRPr="00DA6703">
        <w:rPr>
          <w:rFonts w:ascii="Palatino Linotype" w:hAnsi="Palatino Linotype"/>
        </w:rPr>
        <w:t xml:space="preserve"> 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pentru săvârșirea infracțiunilor de </w:t>
      </w:r>
      <w:r w:rsidR="00B70D0E" w:rsidRPr="00DA6703">
        <w:rPr>
          <w:rFonts w:ascii="Palatino Linotype" w:hAnsi="Palatino Linotype"/>
          <w:b/>
          <w:color w:val="000000"/>
          <w:sz w:val="24"/>
          <w:szCs w:val="24"/>
        </w:rPr>
        <w:t>ucidere din culpă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192 alin. 1, 2 şi 3 din Codul penal, de </w:t>
      </w:r>
      <w:r w:rsidR="00B70D0E" w:rsidRPr="00DA6703">
        <w:rPr>
          <w:rFonts w:ascii="Palatino Linotype" w:hAnsi="Palatino Linotype"/>
          <w:b/>
          <w:color w:val="000000"/>
          <w:sz w:val="24"/>
          <w:szCs w:val="24"/>
        </w:rPr>
        <w:t>vătămare corporală din culpă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196 alin. 2, 3 şi 4 din Codul penal, de </w:t>
      </w:r>
      <w:r w:rsidR="00B70D0E" w:rsidRPr="00DA6703">
        <w:rPr>
          <w:rFonts w:ascii="Palatino Linotype" w:hAnsi="Palatino Linotype"/>
          <w:b/>
          <w:color w:val="000000"/>
          <w:sz w:val="24"/>
          <w:szCs w:val="24"/>
        </w:rPr>
        <w:t>distrugere din culpă în formă calificată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255 alin. 1 şi 2 din Codul penal și de </w:t>
      </w:r>
      <w:r w:rsidR="00B70D0E" w:rsidRPr="00DA6703">
        <w:rPr>
          <w:rFonts w:ascii="Palatino Linotype" w:hAnsi="Palatino Linotype"/>
          <w:b/>
          <w:color w:val="000000"/>
          <w:sz w:val="24"/>
          <w:szCs w:val="24"/>
        </w:rPr>
        <w:t>nerespectarea măsurilor legale de securitate şi sănătate în muncă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>, prev. de art. 350 din Codul penal, cu aplicare</w:t>
      </w:r>
      <w:r w:rsidR="00ED1149" w:rsidRPr="00DA6703">
        <w:rPr>
          <w:rFonts w:ascii="Palatino Linotype" w:hAnsi="Palatino Linotype"/>
          <w:color w:val="000000"/>
          <w:sz w:val="24"/>
          <w:szCs w:val="24"/>
        </w:rPr>
        <w:t>a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 art. 38 alin. 2 din Codul penal, constând în aceea că în ziua de 14.11.2020, în timpul exerc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itării atribuțiilor de serviciu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 în calitate de asistente medicale în salonul 240 al Secției ATI a Spitalului Județean de Urgență Piatra Neamț, în care acordau îngrijiri bolnavilor pozitivi Covid 19 cărora li se administra oxigenoterapie, ar fi folosit și lăsat fără supraveghere o sursă de foc deschis – o lumânare tip candelă, în contex</w:t>
      </w:r>
      <w:r w:rsidR="00DA6703" w:rsidRPr="00DA6703">
        <w:rPr>
          <w:rFonts w:ascii="Palatino Linotype" w:hAnsi="Palatino Linotype"/>
          <w:color w:val="000000"/>
          <w:sz w:val="24"/>
          <w:szCs w:val="24"/>
        </w:rPr>
        <w:t>t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>ul agoniei unui pacien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t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 xml:space="preserve">. </w:t>
      </w:r>
    </w:p>
    <w:p w:rsidR="00033515" w:rsidRPr="00DA6703" w:rsidRDefault="00B70D0E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Această lumânare tip candelă ar fi constituit sursă de inițiere a focului cu consecința incendierii salonului 240 ATI, care a avut ca urmări moartea a 9 pacienți, vătămarea corporală a unui medic , degradarea salonului, distrugerea instalațiilor de fluide medicale, aer comprimat și electrică, a echipame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ntelor de ventilație mecanică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, precum și a altor echipamente medicale. </w:t>
      </w:r>
    </w:p>
    <w:p w:rsidR="007954EB" w:rsidRPr="00DA6703" w:rsidRDefault="007954EB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B70D0E" w:rsidRPr="00DA6703" w:rsidRDefault="00C15AD1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3. </w:t>
      </w:r>
      <w:r w:rsidR="00B70D0E" w:rsidRPr="00DA6703">
        <w:rPr>
          <w:rFonts w:ascii="Palatino Linotype" w:hAnsi="Palatino Linotype"/>
          <w:color w:val="000000"/>
          <w:sz w:val="24"/>
          <w:szCs w:val="24"/>
        </w:rPr>
        <w:t>Continuarea urmăririi penale față de o persoană fizică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pentru săvârşirea infracţiunilor de </w:t>
      </w:r>
      <w:r w:rsidRPr="00DA6703">
        <w:rPr>
          <w:rFonts w:ascii="Palatino Linotype" w:hAnsi="Palatino Linotype"/>
          <w:b/>
          <w:color w:val="000000"/>
          <w:sz w:val="24"/>
          <w:szCs w:val="24"/>
        </w:rPr>
        <w:t>ucidere din culpă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192 alin. 1, 2 şi 3 din Codul penal, de </w:t>
      </w:r>
      <w:r w:rsidRPr="00DA6703">
        <w:rPr>
          <w:rFonts w:ascii="Palatino Linotype" w:hAnsi="Palatino Linotype"/>
          <w:b/>
          <w:color w:val="000000"/>
          <w:sz w:val="24"/>
          <w:szCs w:val="24"/>
        </w:rPr>
        <w:t>vătămare corporală din culpă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196 alin. 2, 3 şi 4 din Codul penal, de </w:t>
      </w:r>
      <w:r w:rsidR="00A6446E" w:rsidRPr="00DA6703">
        <w:rPr>
          <w:rFonts w:ascii="Palatino Linotype" w:hAnsi="Palatino Linotype"/>
          <w:b/>
          <w:color w:val="000000"/>
          <w:sz w:val="24"/>
          <w:szCs w:val="24"/>
        </w:rPr>
        <w:t>distrugere din culpă</w:t>
      </w:r>
      <w:r w:rsidRPr="00DA6703">
        <w:rPr>
          <w:rFonts w:ascii="Palatino Linotype" w:hAnsi="Palatino Linotype"/>
          <w:b/>
          <w:color w:val="000000"/>
          <w:sz w:val="24"/>
          <w:szCs w:val="24"/>
        </w:rPr>
        <w:t xml:space="preserve"> în formă calificată</w:t>
      </w:r>
      <w:r w:rsidRPr="00DA6703">
        <w:rPr>
          <w:rFonts w:ascii="Palatino Linotype" w:hAnsi="Palatino Linotype"/>
          <w:color w:val="000000"/>
          <w:sz w:val="24"/>
          <w:szCs w:val="24"/>
        </w:rPr>
        <w:t>, prev. de art. 255 alin. 1 şi 2 din Codul penal, cu aplicare</w:t>
      </w:r>
      <w:r w:rsidR="002D4317" w:rsidRPr="00DA6703">
        <w:rPr>
          <w:rFonts w:ascii="Palatino Linotype" w:hAnsi="Palatino Linotype"/>
          <w:color w:val="000000"/>
          <w:sz w:val="24"/>
          <w:szCs w:val="24"/>
        </w:rPr>
        <w:t>a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art. 38 alin. 2 din Codul penal, constând în aceea că, în exercitarea atribuţiilor de medic şef al Secţiei ATI, nu ar fi luat măsuri d</w:t>
      </w:r>
      <w:r w:rsidR="00F617A2" w:rsidRPr="00DA6703">
        <w:rPr>
          <w:rFonts w:ascii="Palatino Linotype" w:hAnsi="Palatino Linotype"/>
          <w:color w:val="000000"/>
          <w:sz w:val="24"/>
          <w:szCs w:val="24"/>
        </w:rPr>
        <w:t>e procedurare a unor activități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apte să conducă la o ventilaţie în saloanele ATI, care să asigure securitatea în muncă şi sănătatea personalului medical şi a pacie</w:t>
      </w:r>
      <w:r w:rsidR="00F617A2" w:rsidRPr="00DA6703">
        <w:rPr>
          <w:rFonts w:ascii="Palatino Linotype" w:hAnsi="Palatino Linotype"/>
          <w:color w:val="000000"/>
          <w:sz w:val="24"/>
          <w:szCs w:val="24"/>
        </w:rPr>
        <w:t>nţilor, precum și la o asistență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medicală suport în cazul întreruperii alimentării cu gaze medicinale. Consecința lipsei măsurilor a constituit-o incendierea salonului 240 ATI, care a avut ca urmări moartea a 9 pacienți, vătămarea corporală a unui medic și a unei asistente medicale, degradarea salonului, distrugerea instalațiilor de fluide medicale, aer comprimat și electrică, a echip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amentelor de ventilație mecanică</w:t>
      </w:r>
      <w:r w:rsidRPr="00DA6703">
        <w:rPr>
          <w:rFonts w:ascii="Palatino Linotype" w:hAnsi="Palatino Linotype"/>
          <w:color w:val="000000"/>
          <w:sz w:val="24"/>
          <w:szCs w:val="24"/>
        </w:rPr>
        <w:t>, precum și a altor echipamente medicale.</w:t>
      </w:r>
    </w:p>
    <w:p w:rsidR="007954EB" w:rsidRPr="00DA6703" w:rsidRDefault="007954EB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E23F65" w:rsidRPr="00DA6703" w:rsidRDefault="00C15AD1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4. 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>Continuarea urmăririi penale f</w:t>
      </w:r>
      <w:r w:rsidRPr="00DA6703">
        <w:rPr>
          <w:rFonts w:ascii="Palatino Linotype" w:hAnsi="Palatino Linotype"/>
          <w:color w:val="000000"/>
          <w:sz w:val="24"/>
          <w:szCs w:val="24"/>
        </w:rPr>
        <w:t>ață de persoana anterior menționată și față de o altă persoană fizică, medic la secția ATI din cadrul Spitalului</w:t>
      </w:r>
      <w:r w:rsidR="00D61722" w:rsidRPr="00DA6703">
        <w:rPr>
          <w:rFonts w:ascii="Palatino Linotype" w:hAnsi="Palatino Linotype"/>
          <w:color w:val="000000"/>
          <w:sz w:val="24"/>
          <w:szCs w:val="24"/>
        </w:rPr>
        <w:t xml:space="preserve"> Județean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de Urgență Piatra Neamț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, pentru săvârşirea infracţiunilor de </w:t>
      </w:r>
      <w:r w:rsidR="00E23F65" w:rsidRPr="00DA6703">
        <w:rPr>
          <w:rFonts w:ascii="Palatino Linotype" w:hAnsi="Palatino Linotype"/>
          <w:b/>
          <w:color w:val="000000"/>
          <w:sz w:val="24"/>
          <w:szCs w:val="24"/>
        </w:rPr>
        <w:t>favorizarea făptuitorului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269 din Codul penal, </w:t>
      </w:r>
      <w:r w:rsidR="00E23F65" w:rsidRPr="00DA6703">
        <w:rPr>
          <w:rFonts w:ascii="Palatino Linotype" w:hAnsi="Palatino Linotype"/>
          <w:b/>
          <w:color w:val="000000"/>
          <w:sz w:val="24"/>
          <w:szCs w:val="24"/>
        </w:rPr>
        <w:t>fals intelectual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321 din Codul penal și </w:t>
      </w:r>
      <w:r w:rsidR="00E23F65" w:rsidRPr="00DA6703">
        <w:rPr>
          <w:rFonts w:ascii="Palatino Linotype" w:hAnsi="Palatino Linotype"/>
          <w:b/>
          <w:color w:val="000000"/>
          <w:sz w:val="24"/>
          <w:szCs w:val="24"/>
        </w:rPr>
        <w:t>uz de fals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>, prev.de art.</w:t>
      </w:r>
      <w:r w:rsidR="009D344A" w:rsidRPr="00DA6703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323 din Codul penal, cu </w:t>
      </w:r>
      <w:r w:rsidR="006D70BC" w:rsidRPr="00DA6703">
        <w:rPr>
          <w:rFonts w:ascii="Palatino Linotype" w:hAnsi="Palatino Linotype"/>
          <w:color w:val="000000"/>
          <w:sz w:val="24"/>
          <w:szCs w:val="24"/>
        </w:rPr>
        <w:t>aplicarea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 art. 38 alin. 1 şi 2 din Codul penal, constând în aceea că, în exercitarea atribuțiilor de medic șef al Secției ATI, respectiv de medic la aceeași secție din cadrul Spitalului Judeţean de 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lastRenderedPageBreak/>
        <w:t>Urgenţă Piatra Neamţ, ar fi întocmit și subscris o adresa di</w:t>
      </w:r>
      <w:r w:rsidR="007E3C7E" w:rsidRPr="00DA6703">
        <w:rPr>
          <w:rFonts w:ascii="Palatino Linotype" w:hAnsi="Palatino Linotype"/>
          <w:color w:val="000000"/>
          <w:sz w:val="24"/>
          <w:szCs w:val="24"/>
        </w:rPr>
        <w:t>n</w:t>
      </w:r>
      <w:r w:rsidR="00D53B99">
        <w:rPr>
          <w:rFonts w:ascii="Palatino Linotype" w:hAnsi="Palatino Linotype"/>
          <w:color w:val="000000"/>
          <w:sz w:val="24"/>
          <w:szCs w:val="24"/>
        </w:rPr>
        <w:t xml:space="preserve"> data de 18.06.2021, </w:t>
      </w:r>
      <w:r w:rsidR="00E23F65" w:rsidRPr="00DA6703">
        <w:rPr>
          <w:rFonts w:ascii="Palatino Linotype" w:hAnsi="Palatino Linotype"/>
          <w:color w:val="000000"/>
          <w:sz w:val="24"/>
          <w:szCs w:val="24"/>
        </w:rPr>
        <w:t xml:space="preserve">care conține </w:t>
      </w:r>
      <w:r w:rsidR="00D53B99">
        <w:rPr>
          <w:rFonts w:ascii="Palatino Linotype" w:hAnsi="Palatino Linotype"/>
          <w:color w:val="000000"/>
          <w:sz w:val="24"/>
          <w:szCs w:val="24"/>
        </w:rPr>
        <w:t>mențiuni</w:t>
      </w:r>
      <w:r w:rsidR="001016E5" w:rsidRPr="00DA6703">
        <w:rPr>
          <w:rFonts w:ascii="Palatino Linotype" w:hAnsi="Palatino Linotype"/>
          <w:color w:val="000000"/>
          <w:sz w:val="24"/>
          <w:szCs w:val="24"/>
        </w:rPr>
        <w:t xml:space="preserve"> false </w:t>
      </w:r>
      <w:r w:rsidR="00D53B99">
        <w:rPr>
          <w:rFonts w:ascii="Palatino Linotype" w:hAnsi="Palatino Linotype"/>
          <w:color w:val="000000"/>
          <w:sz w:val="24"/>
          <w:szCs w:val="24"/>
        </w:rPr>
        <w:t>privind îngrijirile acordate pacienților în timpul manifestării incendiului.</w:t>
      </w:r>
    </w:p>
    <w:p w:rsidR="007954EB" w:rsidRDefault="00E23F65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 Această adresă au folosit-o prin transmiterea la Serviciul Judeţean de Medicină Legală Neamț, unde a fost avută în vedere la efectuarea lucrărilor medic</w:t>
      </w:r>
      <w:r w:rsidR="001016E5" w:rsidRPr="00DA6703">
        <w:rPr>
          <w:rFonts w:ascii="Palatino Linotype" w:hAnsi="Palatino Linotype"/>
          <w:color w:val="000000"/>
          <w:sz w:val="24"/>
          <w:szCs w:val="24"/>
        </w:rPr>
        <w:t>o</w:t>
      </w:r>
      <w:r w:rsidRPr="00DA6703">
        <w:rPr>
          <w:rFonts w:ascii="Palatino Linotype" w:hAnsi="Palatino Linotype"/>
          <w:color w:val="000000"/>
          <w:sz w:val="24"/>
          <w:szCs w:val="24"/>
        </w:rPr>
        <w:t>-legale privind decesul a două persoane, în scopul de a îngreuna urmărirea penală</w:t>
      </w:r>
      <w:r w:rsidR="00D53B99">
        <w:rPr>
          <w:rFonts w:ascii="Palatino Linotype" w:hAnsi="Palatino Linotype"/>
          <w:color w:val="000000"/>
          <w:sz w:val="24"/>
          <w:szCs w:val="24"/>
        </w:rPr>
        <w:t>.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D53B99" w:rsidRPr="00DA6703" w:rsidRDefault="00D53B99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B3576D" w:rsidRPr="00DA6703" w:rsidRDefault="00E23F65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5. </w:t>
      </w:r>
      <w:r w:rsidR="00B3576D" w:rsidRPr="00DA6703">
        <w:rPr>
          <w:rFonts w:ascii="Palatino Linotype" w:hAnsi="Palatino Linotype"/>
          <w:color w:val="000000"/>
          <w:sz w:val="24"/>
          <w:szCs w:val="24"/>
        </w:rPr>
        <w:t xml:space="preserve">Continuarea urmăririi penale față de persoana juridică Spitalul Judeţean de Urgenţă Piatra Neamţ, pentru săvârşirea infracţiunilor de </w:t>
      </w:r>
      <w:r w:rsidR="00B3576D" w:rsidRPr="00DA6703">
        <w:rPr>
          <w:rFonts w:ascii="Palatino Linotype" w:hAnsi="Palatino Linotype"/>
          <w:b/>
          <w:color w:val="000000"/>
          <w:sz w:val="24"/>
          <w:szCs w:val="24"/>
        </w:rPr>
        <w:t>ucidere din culpă</w:t>
      </w:r>
      <w:r w:rsidR="00B3576D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192 alin. 1, 2 şi 3 din Codul penal, de </w:t>
      </w:r>
      <w:r w:rsidR="00B3576D" w:rsidRPr="00DA6703">
        <w:rPr>
          <w:rFonts w:ascii="Palatino Linotype" w:hAnsi="Palatino Linotype"/>
          <w:b/>
          <w:color w:val="000000"/>
          <w:sz w:val="24"/>
          <w:szCs w:val="24"/>
        </w:rPr>
        <w:t>vătămare corporală din culpă</w:t>
      </w:r>
      <w:r w:rsidR="00B3576D" w:rsidRPr="00DA6703">
        <w:rPr>
          <w:rFonts w:ascii="Palatino Linotype" w:hAnsi="Palatino Linotype"/>
          <w:color w:val="000000"/>
          <w:sz w:val="24"/>
          <w:szCs w:val="24"/>
        </w:rPr>
        <w:t xml:space="preserve">, prev. de art. 196 alin. 2, 3 şi 4 din Codul penal și de </w:t>
      </w:r>
      <w:r w:rsidR="00A6446E" w:rsidRPr="00DA6703">
        <w:rPr>
          <w:rFonts w:ascii="Palatino Linotype" w:hAnsi="Palatino Linotype"/>
          <w:b/>
          <w:color w:val="000000"/>
          <w:sz w:val="24"/>
          <w:szCs w:val="24"/>
        </w:rPr>
        <w:t>distrugere din culpă</w:t>
      </w:r>
      <w:r w:rsidR="00B3576D" w:rsidRPr="00DA6703">
        <w:rPr>
          <w:rFonts w:ascii="Palatino Linotype" w:hAnsi="Palatino Linotype"/>
          <w:b/>
          <w:color w:val="000000"/>
          <w:sz w:val="24"/>
          <w:szCs w:val="24"/>
        </w:rPr>
        <w:t xml:space="preserve"> în formă calificată</w:t>
      </w:r>
      <w:r w:rsidR="00B3576D" w:rsidRPr="00DA6703">
        <w:rPr>
          <w:rFonts w:ascii="Palatino Linotype" w:hAnsi="Palatino Linotype"/>
          <w:color w:val="000000"/>
          <w:sz w:val="24"/>
          <w:szCs w:val="24"/>
        </w:rPr>
        <w:t>, prev. de art. 255 alin. 1 şi 2 din Codul penal, cu aplicare</w:t>
      </w:r>
      <w:r w:rsidR="00FC1956" w:rsidRPr="00DA6703">
        <w:rPr>
          <w:rFonts w:ascii="Palatino Linotype" w:hAnsi="Palatino Linotype"/>
          <w:color w:val="000000"/>
          <w:sz w:val="24"/>
          <w:szCs w:val="24"/>
        </w:rPr>
        <w:t>a</w:t>
      </w:r>
      <w:r w:rsidR="00B3576D" w:rsidRPr="00DA6703">
        <w:rPr>
          <w:rFonts w:ascii="Palatino Linotype" w:hAnsi="Palatino Linotype"/>
          <w:color w:val="000000"/>
          <w:sz w:val="24"/>
          <w:szCs w:val="24"/>
        </w:rPr>
        <w:t xml:space="preserve"> art. 38 alin. 2 din Codul penal, constând în aceea că, în contextul epidemiei COVID 19 şi realizarea activității de unitate sanitară suport COVID, a organizat impropriu activitatea specifică prin aceea că:</w:t>
      </w:r>
    </w:p>
    <w:p w:rsidR="00B3576D" w:rsidRPr="00DA6703" w:rsidRDefault="00B3576D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 xml:space="preserve"> - nu a realizat o revizuire a riscurilor privind securitatea şi sănătatea în muncă, urmare a schimbării condiţiilor de muncă care s-a produs la nominalizarea sa în categoria spitalelor suport COVID 19 şi adoptarea unei </w:t>
      </w:r>
      <w:r w:rsidR="004371BA" w:rsidRPr="00DA6703">
        <w:rPr>
          <w:rFonts w:ascii="Palatino Linotype" w:hAnsi="Palatino Linotype"/>
          <w:color w:val="000000"/>
          <w:sz w:val="24"/>
          <w:szCs w:val="24"/>
        </w:rPr>
        <w:t>terapii care presupune creştere</w:t>
      </w:r>
      <w:r w:rsidRPr="00DA6703">
        <w:rPr>
          <w:rFonts w:ascii="Palatino Linotype" w:hAnsi="Palatino Linotype"/>
          <w:color w:val="000000"/>
          <w:sz w:val="24"/>
          <w:szCs w:val="24"/>
        </w:rPr>
        <w:t>a cantităţ</w:t>
      </w:r>
      <w:r w:rsidR="007F6AEC" w:rsidRPr="00DA6703">
        <w:rPr>
          <w:rFonts w:ascii="Palatino Linotype" w:hAnsi="Palatino Linotype"/>
          <w:color w:val="000000"/>
          <w:sz w:val="24"/>
          <w:szCs w:val="24"/>
        </w:rPr>
        <w:t>ii de oxigen administrată pacien</w:t>
      </w:r>
      <w:r w:rsidRPr="00DA6703">
        <w:rPr>
          <w:rFonts w:ascii="Palatino Linotype" w:hAnsi="Palatino Linotype"/>
          <w:color w:val="000000"/>
          <w:sz w:val="24"/>
          <w:szCs w:val="24"/>
        </w:rPr>
        <w:t>ţilor COVID 19, implicit creşterea concentraţiei de oxigen în atmosfera încăperilor unde sunt trataţi aceşti bolnavi, şi nu a stabilit măsuri de prevenire care să asigure securitatea şi sănătatea la Secţia ATI în noile condiţii;</w:t>
      </w:r>
    </w:p>
    <w:p w:rsidR="00B3576D" w:rsidRPr="00DA6703" w:rsidRDefault="00B3576D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- nu a luat măsuri de procedurare a unor activități, apte să conducă la o ventilaţie în saloanele ATI, care să asigure securitatea în muncă şi sănătatea personalului medical şi a pacie</w:t>
      </w:r>
      <w:r w:rsidR="003572B8" w:rsidRPr="00DA6703">
        <w:rPr>
          <w:rFonts w:ascii="Palatino Linotype" w:hAnsi="Palatino Linotype"/>
          <w:color w:val="000000"/>
          <w:sz w:val="24"/>
          <w:szCs w:val="24"/>
        </w:rPr>
        <w:t>nţilor, precum și la o asistență</w:t>
      </w:r>
      <w:r w:rsidRPr="00DA6703">
        <w:rPr>
          <w:rFonts w:ascii="Palatino Linotype" w:hAnsi="Palatino Linotype"/>
          <w:color w:val="000000"/>
          <w:sz w:val="24"/>
          <w:szCs w:val="24"/>
        </w:rPr>
        <w:t xml:space="preserve"> medicală suport în cazul întreruperii alimentării cu gaze medicinale;</w:t>
      </w:r>
    </w:p>
    <w:p w:rsidR="00E23F65" w:rsidRPr="00DA6703" w:rsidRDefault="00B3576D" w:rsidP="004219C7">
      <w:pPr>
        <w:ind w:firstLine="709"/>
        <w:jc w:val="both"/>
        <w:rPr>
          <w:rFonts w:ascii="Palatino Linotype" w:hAnsi="Palatino Linotype"/>
          <w:color w:val="000000"/>
          <w:sz w:val="24"/>
          <w:szCs w:val="24"/>
        </w:rPr>
      </w:pPr>
      <w:r w:rsidRPr="00DA6703">
        <w:rPr>
          <w:rFonts w:ascii="Palatino Linotype" w:hAnsi="Palatino Linotype"/>
          <w:color w:val="000000"/>
          <w:sz w:val="24"/>
          <w:szCs w:val="24"/>
        </w:rPr>
        <w:t>Consecința acestor măsuri a constituit-o incendierea salonului 240 ATI, care a avut ca urmări moartea a 9 pacienți, vătămarea cor</w:t>
      </w:r>
      <w:r w:rsidR="009241CD" w:rsidRPr="00DA6703">
        <w:rPr>
          <w:rFonts w:ascii="Palatino Linotype" w:hAnsi="Palatino Linotype"/>
          <w:color w:val="000000"/>
          <w:sz w:val="24"/>
          <w:szCs w:val="24"/>
        </w:rPr>
        <w:t xml:space="preserve">porală a unui medic și a unei asistente </w:t>
      </w:r>
      <w:r w:rsidR="0026649F" w:rsidRPr="00DA6703">
        <w:rPr>
          <w:rFonts w:ascii="Palatino Linotype" w:hAnsi="Palatino Linotype"/>
          <w:color w:val="000000"/>
          <w:sz w:val="24"/>
          <w:szCs w:val="24"/>
        </w:rPr>
        <w:t xml:space="preserve">medicale, </w:t>
      </w:r>
      <w:r w:rsidRPr="00DA6703">
        <w:rPr>
          <w:rFonts w:ascii="Palatino Linotype" w:hAnsi="Palatino Linotype"/>
          <w:color w:val="000000"/>
          <w:sz w:val="24"/>
          <w:szCs w:val="24"/>
        </w:rPr>
        <w:t>degradarea salonului, distrugerea instalațiilor de fluide medicale, aer comprimat și electrică, a echip</w:t>
      </w:r>
      <w:r w:rsidR="00FC63BC" w:rsidRPr="00DA6703">
        <w:rPr>
          <w:rFonts w:ascii="Palatino Linotype" w:hAnsi="Palatino Linotype"/>
          <w:color w:val="000000"/>
          <w:sz w:val="24"/>
          <w:szCs w:val="24"/>
        </w:rPr>
        <w:t>amentelor de ventilație mecanică</w:t>
      </w:r>
      <w:r w:rsidRPr="00DA6703">
        <w:rPr>
          <w:rFonts w:ascii="Palatino Linotype" w:hAnsi="Palatino Linotype"/>
          <w:color w:val="000000"/>
          <w:sz w:val="24"/>
          <w:szCs w:val="24"/>
        </w:rPr>
        <w:t>, precum și a altor echipamente medicale.</w:t>
      </w:r>
    </w:p>
    <w:p w:rsidR="0014334E" w:rsidRPr="00DA6703" w:rsidRDefault="0014334E" w:rsidP="004219C7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DA6703">
        <w:rPr>
          <w:rFonts w:ascii="Palatino Linotype" w:hAnsi="Palatino Linotype"/>
          <w:sz w:val="24"/>
          <w:szCs w:val="24"/>
        </w:rPr>
        <w:tab/>
      </w:r>
    </w:p>
    <w:p w:rsidR="0014334E" w:rsidRPr="00DA6703" w:rsidRDefault="00D6461D" w:rsidP="004219C7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DA6703">
        <w:rPr>
          <w:rFonts w:ascii="Palatino Linotype" w:hAnsi="Palatino Linotype"/>
          <w:sz w:val="24"/>
          <w:szCs w:val="24"/>
        </w:rPr>
        <w:t xml:space="preserve">Suspecților </w:t>
      </w:r>
      <w:r w:rsidR="0014334E" w:rsidRPr="00DA6703">
        <w:rPr>
          <w:rFonts w:ascii="Palatino Linotype" w:hAnsi="Palatino Linotype"/>
          <w:sz w:val="24"/>
          <w:szCs w:val="24"/>
        </w:rPr>
        <w:t xml:space="preserve"> li s-au adus la c</w:t>
      </w:r>
      <w:r w:rsidRPr="00DA6703">
        <w:rPr>
          <w:rFonts w:ascii="Palatino Linotype" w:hAnsi="Palatino Linotype"/>
          <w:sz w:val="24"/>
          <w:szCs w:val="24"/>
        </w:rPr>
        <w:t>unoștință, în cursul zilei de 28 octombrie 2021</w:t>
      </w:r>
      <w:r w:rsidR="0014334E" w:rsidRPr="00DA6703">
        <w:rPr>
          <w:rFonts w:ascii="Palatino Linotype" w:hAnsi="Palatino Linotype"/>
          <w:sz w:val="24"/>
          <w:szCs w:val="24"/>
        </w:rPr>
        <w:t>, atât calitatea procesuală cât și acuzațiile.</w:t>
      </w:r>
    </w:p>
    <w:p w:rsidR="0014334E" w:rsidRPr="00DA6703" w:rsidRDefault="0014334E" w:rsidP="004219C7">
      <w:pPr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14334E" w:rsidRPr="00DA6703" w:rsidRDefault="0014334E" w:rsidP="004219C7">
      <w:pPr>
        <w:ind w:firstLine="709"/>
        <w:jc w:val="both"/>
        <w:rPr>
          <w:rFonts w:ascii="Palatino Linotype" w:hAnsi="Palatino Linotype"/>
          <w:i/>
          <w:sz w:val="24"/>
          <w:szCs w:val="24"/>
        </w:rPr>
      </w:pPr>
      <w:r w:rsidRPr="00DA6703">
        <w:rPr>
          <w:rFonts w:ascii="Palatino Linotype" w:hAnsi="Palatino Linotype"/>
          <w:sz w:val="24"/>
          <w:szCs w:val="24"/>
        </w:rPr>
        <w:tab/>
      </w:r>
      <w:r w:rsidR="00D6461D" w:rsidRPr="00DA6703">
        <w:rPr>
          <w:rFonts w:ascii="Palatino Linotype" w:hAnsi="Palatino Linotype"/>
          <w:i/>
          <w:sz w:val="24"/>
          <w:szCs w:val="24"/>
        </w:rPr>
        <w:t>C</w:t>
      </w:r>
      <w:r w:rsidR="00D6461D" w:rsidRPr="00DA6703">
        <w:rPr>
          <w:rFonts w:ascii="Palatino Linotype" w:hAnsi="Palatino Linotype"/>
          <w:i/>
          <w:iCs/>
          <w:color w:val="000000"/>
          <w:sz w:val="24"/>
          <w:szCs w:val="24"/>
        </w:rPr>
        <w:t>ontinuarea</w:t>
      </w:r>
      <w:r w:rsidR="0026649F" w:rsidRPr="00DA6703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urmăririi penale reprezintă</w:t>
      </w:r>
      <w:r w:rsidRPr="00DA6703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etapa procesului penal reglementată de Codul de procedură penală având ca scop crearea cadrului procesual de administrare a probatoriului, activitate care nu poate, în nicio situaţie, să înfrângă principiul prezumţiei de nevinovăţie.</w:t>
      </w:r>
    </w:p>
    <w:p w:rsidR="00CF2FD3" w:rsidRPr="00DA6703" w:rsidRDefault="00CF2FD3" w:rsidP="007954EB">
      <w:pPr>
        <w:tabs>
          <w:tab w:val="left" w:pos="4170"/>
        </w:tabs>
        <w:jc w:val="both"/>
        <w:rPr>
          <w:rFonts w:ascii="Palatino Linotype" w:hAnsi="Palatino Linotype"/>
          <w:bCs/>
          <w:i/>
          <w:color w:val="000000"/>
          <w:sz w:val="24"/>
          <w:szCs w:val="24"/>
        </w:rPr>
      </w:pPr>
    </w:p>
    <w:sectPr w:rsidR="00CF2FD3" w:rsidRPr="00DA6703" w:rsidSect="00306FCB">
      <w:headerReference w:type="default" r:id="rId13"/>
      <w:footerReference w:type="default" r:id="rId14"/>
      <w:pgSz w:w="11906" w:h="16838"/>
      <w:pgMar w:top="709" w:right="851" w:bottom="851" w:left="851" w:header="80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0" w:rsidRDefault="00701610">
      <w:r>
        <w:separator/>
      </w:r>
    </w:p>
  </w:endnote>
  <w:endnote w:type="continuationSeparator" w:id="0">
    <w:p w:rsidR="00701610" w:rsidRDefault="0070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2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91" w:rsidRDefault="004C7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B37" w:rsidRPr="00CD52E2" w:rsidRDefault="000F4B37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0" w:rsidRDefault="00701610">
      <w:r>
        <w:separator/>
      </w:r>
    </w:p>
  </w:footnote>
  <w:footnote w:type="continuationSeparator" w:id="0">
    <w:p w:rsidR="00701610" w:rsidRDefault="0070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7" w:rsidRDefault="000F4B37"/>
  <w:p w:rsidR="00306FCB" w:rsidRDefault="00306FCB"/>
  <w:tbl>
    <w:tblPr>
      <w:tblpPr w:leftFromText="180" w:rightFromText="180" w:vertAnchor="text" w:horzAnchor="page" w:tblpX="994" w:tblpY="-927"/>
      <w:tblOverlap w:val="never"/>
      <w:tblW w:w="10348" w:type="dxa"/>
      <w:tblLayout w:type="fixed"/>
      <w:tblLook w:val="01E0" w:firstRow="1" w:lastRow="1" w:firstColumn="1" w:lastColumn="1" w:noHBand="0" w:noVBand="0"/>
    </w:tblPr>
    <w:tblGrid>
      <w:gridCol w:w="1276"/>
      <w:gridCol w:w="7229"/>
      <w:gridCol w:w="1843"/>
    </w:tblGrid>
    <w:tr w:rsidR="00306FCB" w:rsidRPr="00712D66" w:rsidTr="00EA7595">
      <w:trPr>
        <w:trHeight w:val="749"/>
      </w:trPr>
      <w:tc>
        <w:tcPr>
          <w:tcW w:w="12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306FCB" w:rsidRDefault="00306FCB" w:rsidP="00306FCB">
          <w:pPr>
            <w:jc w:val="center"/>
          </w:pPr>
          <w:r w:rsidRPr="00134E42">
            <w:rPr>
              <w:noProof/>
              <w:lang w:val="en-GB" w:eastAsia="en-GB"/>
            </w:rPr>
            <w:drawing>
              <wp:inline distT="0" distB="0" distL="0" distR="0" wp14:anchorId="331625A3" wp14:editId="73AEA04C">
                <wp:extent cx="871012" cy="1009650"/>
                <wp:effectExtent l="0" t="0" r="5715" b="0"/>
                <wp:docPr id="9" name="Imagine 5" descr="C:\Users\mvoith\AppData\Local\Microsoft\Windows\Temporary Internet Files\Content.Outlook\ZTIA4OGL\stemasisigiliul_modelenoi_2016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voith\AppData\Local\Microsoft\Windows\Temporary Internet Files\Content.Outlook\ZTIA4OGL\stemasisigiliul_modelenoi_2016 (1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785"/>
                        <a:stretch/>
                      </pic:blipFill>
                      <pic:spPr bwMode="auto">
                        <a:xfrm>
                          <a:off x="0" y="0"/>
                          <a:ext cx="905292" cy="1049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306FCB" w:rsidRPr="00712D66" w:rsidRDefault="00306FCB" w:rsidP="00306FCB">
          <w:pPr>
            <w:tabs>
              <w:tab w:val="left" w:pos="1809"/>
            </w:tabs>
            <w:spacing w:before="120"/>
            <w:jc w:val="center"/>
            <w:rPr>
              <w:rFonts w:ascii="Palatino Linotype" w:hAnsi="Palatino Linotype"/>
              <w:sz w:val="22"/>
              <w:szCs w:val="22"/>
              <w:lang w:val="pt-B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MINISTERUL PUBLIC</w:t>
          </w:r>
        </w:p>
        <w:p w:rsidR="00306FCB" w:rsidRPr="00712D66" w:rsidRDefault="00306FCB" w:rsidP="00306FCB">
          <w:pPr>
            <w:spacing w:before="80"/>
            <w:jc w:val="center"/>
            <w:rPr>
              <w:rFonts w:ascii="Palatino Linotype" w:hAnsi="Palatino Linotype"/>
              <w:sz w:val="22"/>
              <w:szCs w:val="22"/>
              <w:lang w:val="fr-FR"/>
            </w:rPr>
          </w:pPr>
          <w:r w:rsidRPr="00712D66">
            <w:rPr>
              <w:rFonts w:ascii="Palatino Linotype" w:hAnsi="Palatino Linotype"/>
              <w:sz w:val="22"/>
              <w:szCs w:val="22"/>
              <w:lang w:val="pt-BR"/>
            </w:rPr>
            <w:t>PARCHETUL DE PE L</w:t>
          </w:r>
          <w:r w:rsidRPr="00712D66">
            <w:rPr>
              <w:rFonts w:ascii="Palatino Linotype" w:hAnsi="Palatino Linotype"/>
              <w:sz w:val="22"/>
              <w:szCs w:val="22"/>
              <w:lang w:val="fr-FR"/>
            </w:rPr>
            <w:t>ÂNGĂ ÎNALTA CURTE DE CASAŢIE ŞI JUSTIŢIE</w:t>
          </w:r>
        </w:p>
        <w:p w:rsidR="00306FCB" w:rsidRPr="00712D66" w:rsidRDefault="00306FCB" w:rsidP="00306FCB">
          <w:pPr>
            <w:spacing w:before="160" w:after="120"/>
            <w:jc w:val="center"/>
            <w:rPr>
              <w:sz w:val="22"/>
              <w:szCs w:val="22"/>
              <w:lang w:val="es-ES"/>
            </w:rPr>
          </w:pPr>
          <w:r w:rsidRPr="00712D66">
            <w:rPr>
              <w:rFonts w:ascii="Palatino Linotype" w:hAnsi="Palatino Linotype"/>
              <w:noProof/>
              <w:sz w:val="22"/>
              <w:szCs w:val="2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488BC2" wp14:editId="3326469A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14605" t="13335" r="10795" b="9525"/>
                    <wp:wrapNone/>
                    <wp:docPr id="2" name="Conector drep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4DB7B2F3" id="Conector drep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" strokecolor="silver" strokeweight="1.5pt"/>
                </w:pict>
              </mc:Fallback>
            </mc:AlternateContent>
          </w:r>
          <w:r>
            <w:rPr>
              <w:rFonts w:ascii="Palatino Linotype" w:hAnsi="Palatino Linotype"/>
              <w:sz w:val="22"/>
              <w:szCs w:val="22"/>
              <w:lang w:val="es-ES"/>
            </w:rPr>
            <w:t>Biroul de informare şi relaţii publice</w:t>
          </w:r>
        </w:p>
      </w:tc>
      <w:tc>
        <w:tcPr>
          <w:tcW w:w="1843" w:type="dxa"/>
        </w:tcPr>
        <w:p w:rsidR="00306FCB" w:rsidRDefault="00306FCB" w:rsidP="00306FCB">
          <w:pPr>
            <w:tabs>
              <w:tab w:val="left" w:pos="1809"/>
            </w:tabs>
            <w:spacing w:before="120"/>
            <w:rPr>
              <w:rFonts w:ascii="Palatino Linotype" w:hAnsi="Palatino Linotype"/>
              <w:sz w:val="22"/>
              <w:szCs w:val="22"/>
              <w:lang w:val="pt-BR"/>
            </w:rPr>
          </w:pPr>
        </w:p>
      </w:tc>
    </w:tr>
  </w:tbl>
  <w:p w:rsidR="000F4B37" w:rsidRPr="00D53B22" w:rsidRDefault="000F4B37" w:rsidP="00306FC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3pt;visibility:visible;mso-wrap-style:square" o:bullet="t">
        <v:imagedata r:id="rId1" o:title=""/>
      </v:shape>
    </w:pict>
  </w:numPicBullet>
  <w:abstractNum w:abstractNumId="0" w15:restartNumberingAfterBreak="0">
    <w:nsid w:val="022B5CED"/>
    <w:multiLevelType w:val="hybridMultilevel"/>
    <w:tmpl w:val="825A500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70E43"/>
    <w:multiLevelType w:val="hybridMultilevel"/>
    <w:tmpl w:val="CB2251D2"/>
    <w:lvl w:ilvl="0" w:tplc="685E5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A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22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4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0A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CC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04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C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20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163424"/>
    <w:multiLevelType w:val="hybridMultilevel"/>
    <w:tmpl w:val="D0165EE2"/>
    <w:lvl w:ilvl="0" w:tplc="3036E76C">
      <w:numFmt w:val="bullet"/>
      <w:lvlText w:val="-"/>
      <w:lvlJc w:val="left"/>
      <w:pPr>
        <w:ind w:left="899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53413CF"/>
    <w:multiLevelType w:val="hybridMultilevel"/>
    <w:tmpl w:val="124E9544"/>
    <w:lvl w:ilvl="0" w:tplc="18E094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05B"/>
    <w:multiLevelType w:val="hybridMultilevel"/>
    <w:tmpl w:val="C412656E"/>
    <w:lvl w:ilvl="0" w:tplc="0809000D">
      <w:start w:val="1"/>
      <w:numFmt w:val="bullet"/>
      <w:lvlText w:val=""/>
      <w:lvlJc w:val="left"/>
      <w:pPr>
        <w:ind w:left="4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5" w15:restartNumberingAfterBreak="0">
    <w:nsid w:val="1BD74FF0"/>
    <w:multiLevelType w:val="hybridMultilevel"/>
    <w:tmpl w:val="AEC443CE"/>
    <w:lvl w:ilvl="0" w:tplc="0809000D">
      <w:start w:val="1"/>
      <w:numFmt w:val="bullet"/>
      <w:lvlText w:val=""/>
      <w:lvlJc w:val="left"/>
      <w:pPr>
        <w:ind w:left="4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26814C8D"/>
    <w:multiLevelType w:val="hybridMultilevel"/>
    <w:tmpl w:val="EA02E16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D7CE5"/>
    <w:multiLevelType w:val="hybridMultilevel"/>
    <w:tmpl w:val="42645D4E"/>
    <w:lvl w:ilvl="0" w:tplc="B0C85DD2">
      <w:start w:val="3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E0B9E"/>
    <w:multiLevelType w:val="hybridMultilevel"/>
    <w:tmpl w:val="A2C61C54"/>
    <w:lvl w:ilvl="0" w:tplc="B0C85DD2">
      <w:start w:val="3"/>
      <w:numFmt w:val="bullet"/>
      <w:lvlText w:val="-"/>
      <w:lvlJc w:val="left"/>
      <w:pPr>
        <w:ind w:left="360" w:hanging="360"/>
      </w:pPr>
      <w:rPr>
        <w:rFonts w:ascii="Palatino Linotype" w:eastAsia="MS Gothic" w:hAnsi="Palatino Linotype" w:cs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B379A"/>
    <w:multiLevelType w:val="hybridMultilevel"/>
    <w:tmpl w:val="AE4E863C"/>
    <w:lvl w:ilvl="0" w:tplc="0409000F">
      <w:start w:val="1"/>
      <w:numFmt w:val="decimal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2FEC2267"/>
    <w:multiLevelType w:val="hybridMultilevel"/>
    <w:tmpl w:val="2362BE7A"/>
    <w:lvl w:ilvl="0" w:tplc="2C6EDC8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Palatino Linotype" w:eastAsia="Times New Roman" w:hAnsi="Palatino Linotype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6BA5"/>
    <w:multiLevelType w:val="hybridMultilevel"/>
    <w:tmpl w:val="0FB0209E"/>
    <w:lvl w:ilvl="0" w:tplc="F458806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21F6"/>
    <w:multiLevelType w:val="hybridMultilevel"/>
    <w:tmpl w:val="54A0C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865B3"/>
    <w:multiLevelType w:val="hybridMultilevel"/>
    <w:tmpl w:val="295C3000"/>
    <w:lvl w:ilvl="0" w:tplc="041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9466DC"/>
    <w:multiLevelType w:val="hybridMultilevel"/>
    <w:tmpl w:val="158279B2"/>
    <w:lvl w:ilvl="0" w:tplc="2C6EDC8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Palatino Linotype" w:eastAsia="Times New Roman" w:hAnsi="Palatino Linotype" w:cs="Times New Roman" w:hint="default"/>
        <w:b w:val="0"/>
        <w:i w:val="0"/>
      </w:rPr>
    </w:lvl>
    <w:lvl w:ilvl="1" w:tplc="B0C85D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MS Gothic" w:hAnsi="Palatino Linotype" w:cs="Palatino Linotype" w:hint="default"/>
        <w:b w:val="0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C0BB1"/>
    <w:multiLevelType w:val="hybridMultilevel"/>
    <w:tmpl w:val="53D80892"/>
    <w:lvl w:ilvl="0" w:tplc="B0C85DD2">
      <w:start w:val="3"/>
      <w:numFmt w:val="bullet"/>
      <w:lvlText w:val="-"/>
      <w:lvlJc w:val="left"/>
      <w:pPr>
        <w:ind w:left="720" w:hanging="360"/>
      </w:pPr>
      <w:rPr>
        <w:rFonts w:ascii="Palatino Linotype" w:eastAsia="MS Gothic" w:hAnsi="Palatino Linotype" w:cs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2E82"/>
    <w:multiLevelType w:val="hybridMultilevel"/>
    <w:tmpl w:val="4D2868C6"/>
    <w:lvl w:ilvl="0" w:tplc="0409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7" w15:restartNumberingAfterBreak="0">
    <w:nsid w:val="6AB04041"/>
    <w:multiLevelType w:val="hybridMultilevel"/>
    <w:tmpl w:val="7F3E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C353F"/>
    <w:multiLevelType w:val="hybridMultilevel"/>
    <w:tmpl w:val="46B0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71EF6"/>
    <w:multiLevelType w:val="hybridMultilevel"/>
    <w:tmpl w:val="8C8C46A8"/>
    <w:lvl w:ilvl="0" w:tplc="1242C1E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291B"/>
    <w:multiLevelType w:val="hybridMultilevel"/>
    <w:tmpl w:val="E71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0EE4"/>
    <w:multiLevelType w:val="hybridMultilevel"/>
    <w:tmpl w:val="3CBEC14E"/>
    <w:lvl w:ilvl="0" w:tplc="2C6EDC8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Palatino Linotype" w:eastAsia="Times New Roman" w:hAnsi="Palatino Linotype" w:cs="Times New Roman" w:hint="default"/>
        <w:b w:val="0"/>
        <w:i w:val="0"/>
      </w:rPr>
    </w:lvl>
    <w:lvl w:ilvl="1" w:tplc="B0C85D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MS Gothic" w:hAnsi="Palatino Linotype" w:cs="Palatino Linotype" w:hint="default"/>
        <w:b w:val="0"/>
        <w:i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44392"/>
    <w:multiLevelType w:val="hybridMultilevel"/>
    <w:tmpl w:val="E81044FC"/>
    <w:lvl w:ilvl="0" w:tplc="0E76314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20"/>
  </w:num>
  <w:num w:numId="14">
    <w:abstractNumId w:val="17"/>
  </w:num>
  <w:num w:numId="15">
    <w:abstractNumId w:val="18"/>
  </w:num>
  <w:num w:numId="16">
    <w:abstractNumId w:val="22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00F12"/>
    <w:rsid w:val="00003EDB"/>
    <w:rsid w:val="00013252"/>
    <w:rsid w:val="00021906"/>
    <w:rsid w:val="00033515"/>
    <w:rsid w:val="00036637"/>
    <w:rsid w:val="00037061"/>
    <w:rsid w:val="00044655"/>
    <w:rsid w:val="000566CE"/>
    <w:rsid w:val="0006000B"/>
    <w:rsid w:val="000623B2"/>
    <w:rsid w:val="000652FA"/>
    <w:rsid w:val="00065CD8"/>
    <w:rsid w:val="00071FCF"/>
    <w:rsid w:val="00073583"/>
    <w:rsid w:val="000753D8"/>
    <w:rsid w:val="00084C76"/>
    <w:rsid w:val="000961B4"/>
    <w:rsid w:val="00097AA6"/>
    <w:rsid w:val="000A11C7"/>
    <w:rsid w:val="000B406F"/>
    <w:rsid w:val="000D1BB7"/>
    <w:rsid w:val="000E0079"/>
    <w:rsid w:val="000E4F7E"/>
    <w:rsid w:val="000E7DE8"/>
    <w:rsid w:val="000F1057"/>
    <w:rsid w:val="000F4B37"/>
    <w:rsid w:val="000F6145"/>
    <w:rsid w:val="001016E5"/>
    <w:rsid w:val="00106F03"/>
    <w:rsid w:val="00114F69"/>
    <w:rsid w:val="00115336"/>
    <w:rsid w:val="00116F26"/>
    <w:rsid w:val="001200B2"/>
    <w:rsid w:val="00133D23"/>
    <w:rsid w:val="0013619B"/>
    <w:rsid w:val="0014334E"/>
    <w:rsid w:val="00144BE2"/>
    <w:rsid w:val="0015194B"/>
    <w:rsid w:val="001523BA"/>
    <w:rsid w:val="00152F23"/>
    <w:rsid w:val="00173038"/>
    <w:rsid w:val="00174DC4"/>
    <w:rsid w:val="00175B9E"/>
    <w:rsid w:val="00176F44"/>
    <w:rsid w:val="0018179D"/>
    <w:rsid w:val="001848E0"/>
    <w:rsid w:val="00186713"/>
    <w:rsid w:val="001901A6"/>
    <w:rsid w:val="00191F27"/>
    <w:rsid w:val="00193DCA"/>
    <w:rsid w:val="00193FC3"/>
    <w:rsid w:val="00196BD8"/>
    <w:rsid w:val="001A0499"/>
    <w:rsid w:val="001A049C"/>
    <w:rsid w:val="001A165D"/>
    <w:rsid w:val="001A3442"/>
    <w:rsid w:val="001B767D"/>
    <w:rsid w:val="001C102B"/>
    <w:rsid w:val="001C306B"/>
    <w:rsid w:val="001C6228"/>
    <w:rsid w:val="001D0290"/>
    <w:rsid w:val="001D03CA"/>
    <w:rsid w:val="001D4D81"/>
    <w:rsid w:val="001E5D8B"/>
    <w:rsid w:val="001E6BF8"/>
    <w:rsid w:val="00200652"/>
    <w:rsid w:val="0022258F"/>
    <w:rsid w:val="002258E9"/>
    <w:rsid w:val="00225DAC"/>
    <w:rsid w:val="00233DAF"/>
    <w:rsid w:val="00245B82"/>
    <w:rsid w:val="0024745A"/>
    <w:rsid w:val="00247D18"/>
    <w:rsid w:val="00250627"/>
    <w:rsid w:val="002532AD"/>
    <w:rsid w:val="002536E8"/>
    <w:rsid w:val="002600D3"/>
    <w:rsid w:val="00264326"/>
    <w:rsid w:val="00264AB7"/>
    <w:rsid w:val="0026649F"/>
    <w:rsid w:val="002736BB"/>
    <w:rsid w:val="00277E5E"/>
    <w:rsid w:val="00280ADD"/>
    <w:rsid w:val="00286DAC"/>
    <w:rsid w:val="00290DBC"/>
    <w:rsid w:val="002A429A"/>
    <w:rsid w:val="002A693C"/>
    <w:rsid w:val="002B2C63"/>
    <w:rsid w:val="002B4D55"/>
    <w:rsid w:val="002C26BD"/>
    <w:rsid w:val="002C4E2F"/>
    <w:rsid w:val="002C529A"/>
    <w:rsid w:val="002D24DB"/>
    <w:rsid w:val="002D4317"/>
    <w:rsid w:val="002E0BE1"/>
    <w:rsid w:val="002E6920"/>
    <w:rsid w:val="002F0F4F"/>
    <w:rsid w:val="002F646E"/>
    <w:rsid w:val="00301A1F"/>
    <w:rsid w:val="00303BB1"/>
    <w:rsid w:val="00306FCB"/>
    <w:rsid w:val="00310151"/>
    <w:rsid w:val="00312B1E"/>
    <w:rsid w:val="00312D25"/>
    <w:rsid w:val="003155B4"/>
    <w:rsid w:val="00321729"/>
    <w:rsid w:val="00326AB0"/>
    <w:rsid w:val="003331D7"/>
    <w:rsid w:val="00333351"/>
    <w:rsid w:val="003358C3"/>
    <w:rsid w:val="00346A06"/>
    <w:rsid w:val="00346AC9"/>
    <w:rsid w:val="00353D18"/>
    <w:rsid w:val="003572B8"/>
    <w:rsid w:val="00357985"/>
    <w:rsid w:val="00366C89"/>
    <w:rsid w:val="0036790F"/>
    <w:rsid w:val="00381D90"/>
    <w:rsid w:val="00383790"/>
    <w:rsid w:val="00383F2D"/>
    <w:rsid w:val="0039253A"/>
    <w:rsid w:val="003937A8"/>
    <w:rsid w:val="003A71AA"/>
    <w:rsid w:val="003A7376"/>
    <w:rsid w:val="003A7F23"/>
    <w:rsid w:val="003B05BF"/>
    <w:rsid w:val="003B0ADD"/>
    <w:rsid w:val="003D1876"/>
    <w:rsid w:val="003D7426"/>
    <w:rsid w:val="003E5EA2"/>
    <w:rsid w:val="003F0A36"/>
    <w:rsid w:val="003F40AF"/>
    <w:rsid w:val="004122DD"/>
    <w:rsid w:val="004219C7"/>
    <w:rsid w:val="00424026"/>
    <w:rsid w:val="00434692"/>
    <w:rsid w:val="004371BA"/>
    <w:rsid w:val="004405D4"/>
    <w:rsid w:val="00444961"/>
    <w:rsid w:val="00447E98"/>
    <w:rsid w:val="004507E1"/>
    <w:rsid w:val="0045322A"/>
    <w:rsid w:val="00456D19"/>
    <w:rsid w:val="00460A17"/>
    <w:rsid w:val="00463CBC"/>
    <w:rsid w:val="00465533"/>
    <w:rsid w:val="0047159E"/>
    <w:rsid w:val="00472BB3"/>
    <w:rsid w:val="004752B1"/>
    <w:rsid w:val="00494612"/>
    <w:rsid w:val="004963AC"/>
    <w:rsid w:val="00497692"/>
    <w:rsid w:val="00497D2E"/>
    <w:rsid w:val="004A12F9"/>
    <w:rsid w:val="004B773C"/>
    <w:rsid w:val="004C073A"/>
    <w:rsid w:val="004C0887"/>
    <w:rsid w:val="004C1521"/>
    <w:rsid w:val="004C5EB8"/>
    <w:rsid w:val="004C7491"/>
    <w:rsid w:val="004D1513"/>
    <w:rsid w:val="004D24CA"/>
    <w:rsid w:val="004E098F"/>
    <w:rsid w:val="004E43F4"/>
    <w:rsid w:val="004E6D7F"/>
    <w:rsid w:val="005031E0"/>
    <w:rsid w:val="005066EF"/>
    <w:rsid w:val="00522C84"/>
    <w:rsid w:val="00523EEF"/>
    <w:rsid w:val="005273DF"/>
    <w:rsid w:val="005312BD"/>
    <w:rsid w:val="0053564D"/>
    <w:rsid w:val="00556936"/>
    <w:rsid w:val="00556E78"/>
    <w:rsid w:val="00562202"/>
    <w:rsid w:val="00562B58"/>
    <w:rsid w:val="00564007"/>
    <w:rsid w:val="00573916"/>
    <w:rsid w:val="00574D48"/>
    <w:rsid w:val="00582C58"/>
    <w:rsid w:val="00585D11"/>
    <w:rsid w:val="005935F8"/>
    <w:rsid w:val="005A27CF"/>
    <w:rsid w:val="005A4BFB"/>
    <w:rsid w:val="005B6675"/>
    <w:rsid w:val="005D02DD"/>
    <w:rsid w:val="005D5AE7"/>
    <w:rsid w:val="005D6A50"/>
    <w:rsid w:val="005E6F42"/>
    <w:rsid w:val="00616122"/>
    <w:rsid w:val="006171F7"/>
    <w:rsid w:val="006227F9"/>
    <w:rsid w:val="00623C3E"/>
    <w:rsid w:val="00635563"/>
    <w:rsid w:val="006358E7"/>
    <w:rsid w:val="00644C1F"/>
    <w:rsid w:val="00660348"/>
    <w:rsid w:val="006675F8"/>
    <w:rsid w:val="0067246A"/>
    <w:rsid w:val="00672F76"/>
    <w:rsid w:val="0067755A"/>
    <w:rsid w:val="006803AB"/>
    <w:rsid w:val="00683AA7"/>
    <w:rsid w:val="0069532C"/>
    <w:rsid w:val="00695D5B"/>
    <w:rsid w:val="006A0FCC"/>
    <w:rsid w:val="006A4941"/>
    <w:rsid w:val="006A56B4"/>
    <w:rsid w:val="006B16E9"/>
    <w:rsid w:val="006C2599"/>
    <w:rsid w:val="006C5442"/>
    <w:rsid w:val="006C602C"/>
    <w:rsid w:val="006D0066"/>
    <w:rsid w:val="006D5AF0"/>
    <w:rsid w:val="006D70BC"/>
    <w:rsid w:val="006D7977"/>
    <w:rsid w:val="006E08AF"/>
    <w:rsid w:val="006E39A3"/>
    <w:rsid w:val="006F1FB6"/>
    <w:rsid w:val="006F243B"/>
    <w:rsid w:val="006F2CE0"/>
    <w:rsid w:val="006F77DB"/>
    <w:rsid w:val="00701610"/>
    <w:rsid w:val="00713B66"/>
    <w:rsid w:val="00713D50"/>
    <w:rsid w:val="00716667"/>
    <w:rsid w:val="00717B85"/>
    <w:rsid w:val="00732883"/>
    <w:rsid w:val="00743023"/>
    <w:rsid w:val="007476C8"/>
    <w:rsid w:val="00756EB1"/>
    <w:rsid w:val="0076510F"/>
    <w:rsid w:val="007673A7"/>
    <w:rsid w:val="00771391"/>
    <w:rsid w:val="00777852"/>
    <w:rsid w:val="00780A36"/>
    <w:rsid w:val="007816E6"/>
    <w:rsid w:val="00790CA0"/>
    <w:rsid w:val="00793BC7"/>
    <w:rsid w:val="00794447"/>
    <w:rsid w:val="007954EB"/>
    <w:rsid w:val="007B3D15"/>
    <w:rsid w:val="007B5839"/>
    <w:rsid w:val="007B7674"/>
    <w:rsid w:val="007D6572"/>
    <w:rsid w:val="007D67B8"/>
    <w:rsid w:val="007D6C42"/>
    <w:rsid w:val="007D7C73"/>
    <w:rsid w:val="007E21EE"/>
    <w:rsid w:val="007E3C7E"/>
    <w:rsid w:val="007F1AA1"/>
    <w:rsid w:val="007F41FA"/>
    <w:rsid w:val="007F6AEC"/>
    <w:rsid w:val="00801366"/>
    <w:rsid w:val="008015DD"/>
    <w:rsid w:val="0080164C"/>
    <w:rsid w:val="00804165"/>
    <w:rsid w:val="00804276"/>
    <w:rsid w:val="0081627B"/>
    <w:rsid w:val="00824A5B"/>
    <w:rsid w:val="00827BDA"/>
    <w:rsid w:val="00830129"/>
    <w:rsid w:val="00840AED"/>
    <w:rsid w:val="00843762"/>
    <w:rsid w:val="00851493"/>
    <w:rsid w:val="0085789C"/>
    <w:rsid w:val="008602F7"/>
    <w:rsid w:val="00864331"/>
    <w:rsid w:val="008758A6"/>
    <w:rsid w:val="00883A84"/>
    <w:rsid w:val="00892D03"/>
    <w:rsid w:val="00893AA8"/>
    <w:rsid w:val="008A3641"/>
    <w:rsid w:val="008A3896"/>
    <w:rsid w:val="008B0AA5"/>
    <w:rsid w:val="008B1C79"/>
    <w:rsid w:val="008B6E6F"/>
    <w:rsid w:val="008B74FA"/>
    <w:rsid w:val="008C1E92"/>
    <w:rsid w:val="008D364C"/>
    <w:rsid w:val="008D66A3"/>
    <w:rsid w:val="008E4B35"/>
    <w:rsid w:val="008E5BE5"/>
    <w:rsid w:val="008E738C"/>
    <w:rsid w:val="008F0956"/>
    <w:rsid w:val="009020C0"/>
    <w:rsid w:val="00913766"/>
    <w:rsid w:val="00923C7C"/>
    <w:rsid w:val="009241CD"/>
    <w:rsid w:val="009331FC"/>
    <w:rsid w:val="0094654E"/>
    <w:rsid w:val="0095287A"/>
    <w:rsid w:val="00953C18"/>
    <w:rsid w:val="009553BB"/>
    <w:rsid w:val="009632A4"/>
    <w:rsid w:val="00967731"/>
    <w:rsid w:val="0097603B"/>
    <w:rsid w:val="009817FE"/>
    <w:rsid w:val="00981D5D"/>
    <w:rsid w:val="00981E25"/>
    <w:rsid w:val="00983EFB"/>
    <w:rsid w:val="009840C3"/>
    <w:rsid w:val="00984583"/>
    <w:rsid w:val="00984969"/>
    <w:rsid w:val="009951CD"/>
    <w:rsid w:val="009A7A39"/>
    <w:rsid w:val="009B6993"/>
    <w:rsid w:val="009D2AE3"/>
    <w:rsid w:val="009D344A"/>
    <w:rsid w:val="009D7441"/>
    <w:rsid w:val="009E2018"/>
    <w:rsid w:val="009E4322"/>
    <w:rsid w:val="009E78A3"/>
    <w:rsid w:val="009E7F74"/>
    <w:rsid w:val="009F0739"/>
    <w:rsid w:val="009F1C44"/>
    <w:rsid w:val="00A00260"/>
    <w:rsid w:val="00A05C22"/>
    <w:rsid w:val="00A1511A"/>
    <w:rsid w:val="00A1610D"/>
    <w:rsid w:val="00A30510"/>
    <w:rsid w:val="00A31CEF"/>
    <w:rsid w:val="00A34EF4"/>
    <w:rsid w:val="00A368AE"/>
    <w:rsid w:val="00A4256D"/>
    <w:rsid w:val="00A45231"/>
    <w:rsid w:val="00A45FA2"/>
    <w:rsid w:val="00A46384"/>
    <w:rsid w:val="00A47FF0"/>
    <w:rsid w:val="00A50AAF"/>
    <w:rsid w:val="00A54EF8"/>
    <w:rsid w:val="00A6446E"/>
    <w:rsid w:val="00A732C3"/>
    <w:rsid w:val="00A8237E"/>
    <w:rsid w:val="00A82CD6"/>
    <w:rsid w:val="00A83CA2"/>
    <w:rsid w:val="00A84639"/>
    <w:rsid w:val="00A8642E"/>
    <w:rsid w:val="00A95AD8"/>
    <w:rsid w:val="00A95E5D"/>
    <w:rsid w:val="00AB2C9F"/>
    <w:rsid w:val="00AB4A33"/>
    <w:rsid w:val="00AB7C2B"/>
    <w:rsid w:val="00AD162E"/>
    <w:rsid w:val="00AD3126"/>
    <w:rsid w:val="00AE05F6"/>
    <w:rsid w:val="00AE4B45"/>
    <w:rsid w:val="00AE54B5"/>
    <w:rsid w:val="00AE5857"/>
    <w:rsid w:val="00AE70DD"/>
    <w:rsid w:val="00AF161F"/>
    <w:rsid w:val="00B0088B"/>
    <w:rsid w:val="00B24282"/>
    <w:rsid w:val="00B34FD6"/>
    <w:rsid w:val="00B3576D"/>
    <w:rsid w:val="00B36BD4"/>
    <w:rsid w:val="00B45F1E"/>
    <w:rsid w:val="00B47274"/>
    <w:rsid w:val="00B55A97"/>
    <w:rsid w:val="00B70D0E"/>
    <w:rsid w:val="00B93577"/>
    <w:rsid w:val="00B9380C"/>
    <w:rsid w:val="00B957F6"/>
    <w:rsid w:val="00BB1730"/>
    <w:rsid w:val="00BB403D"/>
    <w:rsid w:val="00BB4C34"/>
    <w:rsid w:val="00BB5FD0"/>
    <w:rsid w:val="00BB6F5B"/>
    <w:rsid w:val="00BC039B"/>
    <w:rsid w:val="00BC1CA6"/>
    <w:rsid w:val="00BC27B6"/>
    <w:rsid w:val="00BC2CCC"/>
    <w:rsid w:val="00BC6D5F"/>
    <w:rsid w:val="00BD2C85"/>
    <w:rsid w:val="00BD64E2"/>
    <w:rsid w:val="00BD7E82"/>
    <w:rsid w:val="00BE52E4"/>
    <w:rsid w:val="00BF142C"/>
    <w:rsid w:val="00BF3E9D"/>
    <w:rsid w:val="00BF45EB"/>
    <w:rsid w:val="00C1282B"/>
    <w:rsid w:val="00C15AD1"/>
    <w:rsid w:val="00C17BE5"/>
    <w:rsid w:val="00C20CA6"/>
    <w:rsid w:val="00C32883"/>
    <w:rsid w:val="00C35C4B"/>
    <w:rsid w:val="00C405DC"/>
    <w:rsid w:val="00C40D2F"/>
    <w:rsid w:val="00C41702"/>
    <w:rsid w:val="00C428C2"/>
    <w:rsid w:val="00C46370"/>
    <w:rsid w:val="00C53C5A"/>
    <w:rsid w:val="00C607A3"/>
    <w:rsid w:val="00C60972"/>
    <w:rsid w:val="00C62738"/>
    <w:rsid w:val="00C700F1"/>
    <w:rsid w:val="00C70FCB"/>
    <w:rsid w:val="00C85307"/>
    <w:rsid w:val="00CB14C2"/>
    <w:rsid w:val="00CB1787"/>
    <w:rsid w:val="00CB2A64"/>
    <w:rsid w:val="00CB7F06"/>
    <w:rsid w:val="00CD0222"/>
    <w:rsid w:val="00CD425C"/>
    <w:rsid w:val="00CD52E2"/>
    <w:rsid w:val="00CE24CC"/>
    <w:rsid w:val="00CE450B"/>
    <w:rsid w:val="00CE4C83"/>
    <w:rsid w:val="00CF2FD3"/>
    <w:rsid w:val="00D0086E"/>
    <w:rsid w:val="00D06484"/>
    <w:rsid w:val="00D20156"/>
    <w:rsid w:val="00D269B6"/>
    <w:rsid w:val="00D40E23"/>
    <w:rsid w:val="00D46664"/>
    <w:rsid w:val="00D4718B"/>
    <w:rsid w:val="00D475B7"/>
    <w:rsid w:val="00D53022"/>
    <w:rsid w:val="00D53B22"/>
    <w:rsid w:val="00D53B99"/>
    <w:rsid w:val="00D6041E"/>
    <w:rsid w:val="00D61722"/>
    <w:rsid w:val="00D6461D"/>
    <w:rsid w:val="00D74D19"/>
    <w:rsid w:val="00D77853"/>
    <w:rsid w:val="00D864A1"/>
    <w:rsid w:val="00D86543"/>
    <w:rsid w:val="00D915B0"/>
    <w:rsid w:val="00D92592"/>
    <w:rsid w:val="00DA123B"/>
    <w:rsid w:val="00DA131F"/>
    <w:rsid w:val="00DA6703"/>
    <w:rsid w:val="00DB323A"/>
    <w:rsid w:val="00DC2F18"/>
    <w:rsid w:val="00DC4F31"/>
    <w:rsid w:val="00DC758A"/>
    <w:rsid w:val="00DD327F"/>
    <w:rsid w:val="00DD7DC4"/>
    <w:rsid w:val="00DE1379"/>
    <w:rsid w:val="00DE267C"/>
    <w:rsid w:val="00DE27B3"/>
    <w:rsid w:val="00DE4B2A"/>
    <w:rsid w:val="00DE50B4"/>
    <w:rsid w:val="00DF2A40"/>
    <w:rsid w:val="00DF3D17"/>
    <w:rsid w:val="00DF6AB3"/>
    <w:rsid w:val="00E0481B"/>
    <w:rsid w:val="00E2224D"/>
    <w:rsid w:val="00E23F65"/>
    <w:rsid w:val="00E240E2"/>
    <w:rsid w:val="00E4347F"/>
    <w:rsid w:val="00E4674D"/>
    <w:rsid w:val="00E55C77"/>
    <w:rsid w:val="00E5735A"/>
    <w:rsid w:val="00E70CF6"/>
    <w:rsid w:val="00E74A13"/>
    <w:rsid w:val="00E757CD"/>
    <w:rsid w:val="00E80790"/>
    <w:rsid w:val="00E83E54"/>
    <w:rsid w:val="00E84884"/>
    <w:rsid w:val="00E87159"/>
    <w:rsid w:val="00E934CD"/>
    <w:rsid w:val="00EA36DE"/>
    <w:rsid w:val="00EB1FF1"/>
    <w:rsid w:val="00EB2C41"/>
    <w:rsid w:val="00EB721D"/>
    <w:rsid w:val="00EC2012"/>
    <w:rsid w:val="00ED1149"/>
    <w:rsid w:val="00ED34DC"/>
    <w:rsid w:val="00ED660F"/>
    <w:rsid w:val="00EF22C4"/>
    <w:rsid w:val="00F00918"/>
    <w:rsid w:val="00F0145E"/>
    <w:rsid w:val="00F02274"/>
    <w:rsid w:val="00F03268"/>
    <w:rsid w:val="00F04706"/>
    <w:rsid w:val="00F055C7"/>
    <w:rsid w:val="00F126D6"/>
    <w:rsid w:val="00F138EC"/>
    <w:rsid w:val="00F34EB3"/>
    <w:rsid w:val="00F3529F"/>
    <w:rsid w:val="00F4018E"/>
    <w:rsid w:val="00F42084"/>
    <w:rsid w:val="00F4575E"/>
    <w:rsid w:val="00F51DD5"/>
    <w:rsid w:val="00F54164"/>
    <w:rsid w:val="00F5516E"/>
    <w:rsid w:val="00F560D4"/>
    <w:rsid w:val="00F60CA1"/>
    <w:rsid w:val="00F617A2"/>
    <w:rsid w:val="00F71D60"/>
    <w:rsid w:val="00F83215"/>
    <w:rsid w:val="00F86A54"/>
    <w:rsid w:val="00F945BA"/>
    <w:rsid w:val="00FB2F05"/>
    <w:rsid w:val="00FB31FD"/>
    <w:rsid w:val="00FC1956"/>
    <w:rsid w:val="00FC63BC"/>
    <w:rsid w:val="00FC6C80"/>
    <w:rsid w:val="00FD4772"/>
    <w:rsid w:val="00FE0D07"/>
    <w:rsid w:val="00FE1F47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BCB641-F6F0-415F-882C-1EFA1F4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44"/>
    <w:rPr>
      <w:rFonts w:ascii="Times New Roman" w:eastAsia="Times New Roman" w:hAnsi="Times New Roman"/>
      <w:sz w:val="20"/>
      <w:szCs w:val="20"/>
      <w:lang w:val="ro-RO" w:eastAsia="ro-RO"/>
    </w:rPr>
  </w:style>
  <w:style w:type="paragraph" w:styleId="Heading1">
    <w:name w:val="heading 1"/>
    <w:basedOn w:val="Normal"/>
    <w:link w:val="Heading1Char"/>
    <w:qFormat/>
    <w:locked/>
    <w:rsid w:val="00B34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176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F44"/>
    <w:rPr>
      <w:rFonts w:ascii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176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76F4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7D6C42"/>
    <w:pPr>
      <w:ind w:left="720"/>
      <w:contextualSpacing/>
    </w:pPr>
  </w:style>
  <w:style w:type="character" w:styleId="Hyperlink">
    <w:name w:val="Hyperlink"/>
    <w:basedOn w:val="DefaultParagraphFont"/>
    <w:unhideWhenUsed/>
    <w:rsid w:val="007D6C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4FD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harChar2CharCharCharCharCharChar">
    <w:name w:val="Char Char2 Char Char Char Char Char Char"/>
    <w:basedOn w:val="Normal"/>
    <w:rsid w:val="00B34FD6"/>
    <w:rPr>
      <w:sz w:val="24"/>
      <w:szCs w:val="24"/>
      <w:lang w:val="pl-PL" w:eastAsia="pl-PL"/>
    </w:rPr>
  </w:style>
  <w:style w:type="character" w:styleId="Strong">
    <w:name w:val="Strong"/>
    <w:uiPriority w:val="22"/>
    <w:qFormat/>
    <w:locked/>
    <w:rsid w:val="00B34FD6"/>
    <w:rPr>
      <w:b/>
      <w:bCs/>
    </w:rPr>
  </w:style>
  <w:style w:type="paragraph" w:styleId="NormalWeb">
    <w:name w:val="Normal (Web)"/>
    <w:basedOn w:val="Normal"/>
    <w:link w:val="NormalWebChar"/>
    <w:uiPriority w:val="99"/>
    <w:rsid w:val="00B34F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rsid w:val="00B34FD6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TMLCite">
    <w:name w:val="HTML Cite"/>
    <w:rsid w:val="00B34FD6"/>
    <w:rPr>
      <w:i/>
      <w:iCs/>
    </w:rPr>
  </w:style>
  <w:style w:type="character" w:styleId="PageNumber">
    <w:name w:val="page number"/>
    <w:basedOn w:val="DefaultParagraphFont"/>
    <w:rsid w:val="00B34FD6"/>
  </w:style>
  <w:style w:type="character" w:styleId="FollowedHyperlink">
    <w:name w:val="FollowedHyperlink"/>
    <w:rsid w:val="00B34FD6"/>
    <w:rPr>
      <w:color w:val="800080"/>
      <w:u w:val="single"/>
    </w:rPr>
  </w:style>
  <w:style w:type="character" w:customStyle="1" w:styleId="lrzxr">
    <w:name w:val="lrzxr"/>
    <w:rsid w:val="00B34FD6"/>
  </w:style>
  <w:style w:type="character" w:customStyle="1" w:styleId="w8qarf">
    <w:name w:val="w8qarf"/>
    <w:rsid w:val="00B34FD6"/>
  </w:style>
  <w:style w:type="character" w:customStyle="1" w:styleId="tlou0b">
    <w:name w:val="tlou0b"/>
    <w:rsid w:val="00B34FD6"/>
  </w:style>
  <w:style w:type="character" w:customStyle="1" w:styleId="jdmkzb">
    <w:name w:val="jdmkzb"/>
    <w:rsid w:val="00B34FD6"/>
  </w:style>
  <w:style w:type="character" w:styleId="Emphasis">
    <w:name w:val="Emphasis"/>
    <w:basedOn w:val="DefaultParagraphFont"/>
    <w:uiPriority w:val="20"/>
    <w:qFormat/>
    <w:locked/>
    <w:rsid w:val="00967731"/>
    <w:rPr>
      <w:i/>
      <w:iCs/>
    </w:rPr>
  </w:style>
  <w:style w:type="paragraph" w:customStyle="1" w:styleId="Listparagraf1">
    <w:name w:val="Listă paragraf1"/>
    <w:basedOn w:val="Normal"/>
    <w:qFormat/>
    <w:rsid w:val="009A7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"/>
    <w:uiPriority w:val="99"/>
    <w:rsid w:val="004C7491"/>
    <w:pPr>
      <w:widowControl w:val="0"/>
      <w:autoSpaceDE w:val="0"/>
      <w:autoSpaceDN w:val="0"/>
      <w:adjustRightInd w:val="0"/>
      <w:spacing w:line="456" w:lineRule="exact"/>
      <w:ind w:firstLine="68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ublic.ro/ro/content/c_14-11-2020-21-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ublic.ro/ro/content/c_05-10-2021-09-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ublic.ro/ro/content/c_17-11-2020-15-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ublic.ro/ro/content/c_16-11-2020-17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ublic.ro/ro/content/c_15-11-2020-17-1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668D-9F24-41E6-AB1F-1C9212CF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Ionescu</dc:creator>
  <cp:keywords/>
  <dc:description/>
  <cp:lastModifiedBy>Ionescu Alexandru</cp:lastModifiedBy>
  <cp:revision>2</cp:revision>
  <cp:lastPrinted>2021-10-28T09:31:00Z</cp:lastPrinted>
  <dcterms:created xsi:type="dcterms:W3CDTF">2021-10-28T15:28:00Z</dcterms:created>
  <dcterms:modified xsi:type="dcterms:W3CDTF">2021-10-28T15:28:00Z</dcterms:modified>
</cp:coreProperties>
</file>